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699"/>
        <w:gridCol w:w="826"/>
        <w:gridCol w:w="4111"/>
      </w:tblGrid>
      <w:tr w:rsidR="00B55392" w:rsidTr="00DB534A">
        <w:trPr>
          <w:cantSplit/>
          <w:trHeight w:val="1365"/>
        </w:trPr>
        <w:tc>
          <w:tcPr>
            <w:tcW w:w="2055" w:type="dxa"/>
          </w:tcPr>
          <w:p w:rsidR="00B55392" w:rsidRDefault="0042173A" w:rsidP="00207A13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224280" cy="1049655"/>
                  <wp:effectExtent l="0" t="0" r="0" b="0"/>
                  <wp:docPr id="1" name="Imagem 1" descr="logo conof_sem tí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conof_sem tí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:rsidR="00B55392" w:rsidRDefault="00B55392" w:rsidP="00207A13"/>
        </w:tc>
        <w:tc>
          <w:tcPr>
            <w:tcW w:w="7636" w:type="dxa"/>
            <w:gridSpan w:val="3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B55392" w:rsidRDefault="00B55392" w:rsidP="00207A13">
            <w:pPr>
              <w:ind w:right="-70"/>
              <w:rPr>
                <w:rFonts w:ascii="Cambria" w:hAnsi="Cambria"/>
                <w:b/>
                <w:color w:val="008080"/>
                <w:sz w:val="30"/>
                <w:szCs w:val="30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CÂMARA DOS DEPUTADOS</w:t>
            </w:r>
          </w:p>
          <w:p w:rsidR="00B55392" w:rsidRPr="009E427B" w:rsidRDefault="00B55392" w:rsidP="00207A13">
            <w:pPr>
              <w:ind w:right="-70"/>
              <w:rPr>
                <w:rFonts w:ascii="Garamond" w:hAnsi="Garamond"/>
                <w:b/>
                <w:sz w:val="32"/>
                <w:szCs w:val="32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Consultoria de Orçamento e Fiscalização Financeira</w:t>
            </w:r>
          </w:p>
        </w:tc>
      </w:tr>
      <w:tr w:rsidR="0042173A" w:rsidRPr="0042173A" w:rsidTr="007D55C7">
        <w:trPr>
          <w:cantSplit/>
          <w:trHeight w:val="7900"/>
        </w:trPr>
        <w:tc>
          <w:tcPr>
            <w:tcW w:w="9851" w:type="dxa"/>
            <w:gridSpan w:val="5"/>
            <w:textDirection w:val="btLr"/>
            <w:vAlign w:val="bottom"/>
          </w:tcPr>
          <w:p w:rsidR="00B55392" w:rsidRPr="00D95DC3" w:rsidRDefault="000324EC" w:rsidP="003812CC">
            <w:pPr>
              <w:spacing w:after="200" w:line="276" w:lineRule="auto"/>
              <w:ind w:left="113" w:right="113"/>
              <w:jc w:val="center"/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Nota</w:t>
            </w:r>
            <w:r w:rsidR="00B55392"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Técnic</w:t>
            </w:r>
            <w:r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</w:t>
            </w:r>
            <w:r w:rsidR="00B55392"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n.º </w:t>
            </w:r>
            <w:r w:rsidR="003812CC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</w:t>
            </w:r>
            <w:r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de 201</w:t>
            </w:r>
            <w:r w:rsidR="00614349" w:rsidRPr="00D95DC3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</w:p>
        </w:tc>
      </w:tr>
      <w:tr w:rsidR="00B55392" w:rsidRPr="00207A13" w:rsidTr="00DB534A">
        <w:trPr>
          <w:cantSplit/>
          <w:trHeight w:val="2196"/>
        </w:trPr>
        <w:tc>
          <w:tcPr>
            <w:tcW w:w="5740" w:type="dxa"/>
            <w:gridSpan w:val="4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207A13" w:rsidRDefault="00D03D11" w:rsidP="00614349">
            <w:pPr>
              <w:ind w:right="497"/>
              <w:rPr>
                <w:rFonts w:ascii="Calibri" w:hAnsi="Calibri" w:cs="Calibri"/>
                <w:b/>
                <w:i/>
                <w:color w:val="008080"/>
                <w:sz w:val="30"/>
                <w:szCs w:val="30"/>
              </w:rPr>
            </w:pP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Subsídios acerca da adequação orçamentária e financeira da Medida Provisória nº 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5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, de 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17</w:t>
            </w:r>
            <w:r w:rsidR="00B657F2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junho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201</w:t>
            </w:r>
            <w:r w:rsidR="00614349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9</w:t>
            </w:r>
          </w:p>
        </w:tc>
        <w:tc>
          <w:tcPr>
            <w:tcW w:w="4111" w:type="dxa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587F25" w:rsidRPr="00132033" w:rsidRDefault="00DD5DFB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 w:val="28"/>
                <w:szCs w:val="28"/>
              </w:rPr>
            </w:pPr>
            <w:r w:rsidRPr="00132033">
              <w:rPr>
                <w:rFonts w:ascii="Calibri" w:hAnsi="Calibri" w:cs="Calibri"/>
                <w:b/>
                <w:color w:val="008080"/>
                <w:sz w:val="28"/>
                <w:szCs w:val="28"/>
              </w:rPr>
              <w:t>Fidelis Antonio Fantin Junior</w:t>
            </w:r>
          </w:p>
          <w:p w:rsidR="00B55392" w:rsidRPr="00132033" w:rsidRDefault="00B55392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Cs w:val="24"/>
              </w:rPr>
            </w:pPr>
            <w:r w:rsidRPr="00132033">
              <w:rPr>
                <w:rFonts w:ascii="Calibri" w:hAnsi="Calibri" w:cs="Calibri"/>
                <w:b/>
                <w:color w:val="008080"/>
                <w:szCs w:val="24"/>
              </w:rPr>
              <w:t>Co</w:t>
            </w:r>
            <w:r w:rsidR="002521B5" w:rsidRPr="00132033">
              <w:rPr>
                <w:rFonts w:ascii="Calibri" w:hAnsi="Calibri" w:cs="Calibri"/>
                <w:b/>
                <w:color w:val="008080"/>
                <w:szCs w:val="24"/>
              </w:rPr>
              <w:t>nsultor de Orçamento</w:t>
            </w:r>
            <w:r w:rsidR="00587F25" w:rsidRPr="00132033">
              <w:rPr>
                <w:rFonts w:ascii="Calibri" w:hAnsi="Calibri" w:cs="Calibri"/>
                <w:b/>
                <w:color w:val="008080"/>
                <w:szCs w:val="24"/>
              </w:rPr>
              <w:t xml:space="preserve"> e Fiscalização Financeira</w:t>
            </w:r>
          </w:p>
        </w:tc>
      </w:tr>
      <w:tr w:rsidR="001E0BB2" w:rsidRPr="00207A13" w:rsidTr="00DB534A">
        <w:trPr>
          <w:cantSplit/>
          <w:trHeight w:val="546"/>
        </w:trPr>
        <w:tc>
          <w:tcPr>
            <w:tcW w:w="4914" w:type="dxa"/>
            <w:gridSpan w:val="3"/>
          </w:tcPr>
          <w:p w:rsidR="001E0BB2" w:rsidRPr="00207A13" w:rsidRDefault="001E0BB2" w:rsidP="001E0BB2">
            <w:pPr>
              <w:spacing w:after="120"/>
              <w:rPr>
                <w:rFonts w:ascii="Calibri" w:hAnsi="Calibri" w:cs="Calibri"/>
                <w:b/>
                <w:color w:val="008080"/>
              </w:rPr>
            </w:pPr>
            <w:r w:rsidRPr="00207A13">
              <w:rPr>
                <w:rFonts w:ascii="Calibri" w:hAnsi="Calibri" w:cs="Calibri"/>
                <w:b/>
                <w:color w:val="008080"/>
              </w:rPr>
              <w:t xml:space="preserve">Endereço na Internet: </w:t>
            </w:r>
            <w:r w:rsidRPr="001E0BB2">
              <w:rPr>
                <w:rFonts w:ascii="Calibri" w:hAnsi="Calibri" w:cs="Calibri"/>
                <w:b/>
                <w:color w:val="008080"/>
              </w:rPr>
              <w:t>http://www2.camara.leg.br/a-camara/estruturaadm/conof</w:t>
            </w:r>
          </w:p>
          <w:p w:rsidR="001E0BB2" w:rsidRPr="00207A13" w:rsidRDefault="001E0BB2" w:rsidP="001E0BB2">
            <w:pPr>
              <w:rPr>
                <w:rFonts w:ascii="Calibri" w:hAnsi="Calibri" w:cs="Calibri"/>
                <w:b/>
                <w:color w:val="008080"/>
              </w:rPr>
            </w:pPr>
            <w:proofErr w:type="gramStart"/>
            <w:r w:rsidRPr="00207A13">
              <w:rPr>
                <w:rFonts w:ascii="Calibri" w:hAnsi="Calibri" w:cs="Calibri"/>
                <w:b/>
                <w:color w:val="008080"/>
              </w:rPr>
              <w:t>e-mail</w:t>
            </w:r>
            <w:proofErr w:type="gramEnd"/>
            <w:r w:rsidRPr="00207A13">
              <w:rPr>
                <w:rFonts w:ascii="Calibri" w:hAnsi="Calibri" w:cs="Calibri"/>
                <w:b/>
                <w:color w:val="008080"/>
              </w:rPr>
              <w:t xml:space="preserve">: </w:t>
            </w:r>
            <w:hyperlink r:id="rId10" w:history="1">
              <w:r w:rsidRPr="00207A13">
                <w:rPr>
                  <w:rStyle w:val="Hyperlink"/>
                  <w:rFonts w:ascii="Calibri" w:hAnsi="Calibri" w:cs="Calibri"/>
                  <w:color w:val="008080"/>
                </w:rPr>
                <w:t>conof@camara.gov.br</w:t>
              </w:r>
            </w:hyperlink>
          </w:p>
        </w:tc>
        <w:tc>
          <w:tcPr>
            <w:tcW w:w="4937" w:type="dxa"/>
            <w:gridSpan w:val="2"/>
          </w:tcPr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614349" w:rsidP="00614349">
            <w:pPr>
              <w:ind w:right="1206"/>
              <w:jc w:val="right"/>
              <w:rPr>
                <w:rFonts w:ascii="Calibri" w:hAnsi="Calibri" w:cs="Calibri"/>
                <w:b/>
                <w:color w:val="008080"/>
              </w:rPr>
            </w:pPr>
            <w:r>
              <w:rPr>
                <w:rFonts w:ascii="Calibri" w:hAnsi="Calibri" w:cs="Calibri"/>
                <w:b/>
                <w:color w:val="008080"/>
              </w:rPr>
              <w:t>Agosto</w:t>
            </w:r>
            <w:r w:rsidR="00B657F2">
              <w:rPr>
                <w:rFonts w:ascii="Calibri" w:hAnsi="Calibri" w:cs="Calibri"/>
                <w:b/>
                <w:color w:val="008080"/>
              </w:rPr>
              <w:t xml:space="preserve"> de 201</w:t>
            </w:r>
            <w:r>
              <w:rPr>
                <w:rFonts w:ascii="Calibri" w:hAnsi="Calibri" w:cs="Calibri"/>
                <w:b/>
                <w:color w:val="008080"/>
              </w:rPr>
              <w:t>9</w:t>
            </w:r>
          </w:p>
        </w:tc>
      </w:tr>
    </w:tbl>
    <w:p w:rsidR="001E0BB2" w:rsidRPr="00207A13" w:rsidRDefault="001E0BB2" w:rsidP="00B55392">
      <w:pPr>
        <w:ind w:right="-70"/>
        <w:jc w:val="both"/>
        <w:rPr>
          <w:rFonts w:ascii="Calibri" w:hAnsi="Calibri" w:cs="Calibri"/>
          <w:b/>
          <w:color w:val="008080"/>
        </w:rPr>
      </w:pPr>
    </w:p>
    <w:p w:rsidR="00EF2AA2" w:rsidRDefault="00B55392" w:rsidP="007D55C7">
      <w:pPr>
        <w:ind w:right="-70"/>
        <w:jc w:val="both"/>
        <w:rPr>
          <w:rFonts w:ascii="Times New Roman" w:hAnsi="Times New Roman"/>
          <w:b/>
          <w:sz w:val="28"/>
          <w:szCs w:val="28"/>
        </w:rPr>
      </w:pPr>
      <w:r w:rsidRPr="00207A13">
        <w:rPr>
          <w:rFonts w:ascii="Calibri" w:hAnsi="Calibri" w:cs="Calibri"/>
          <w:b/>
          <w:color w:val="008080"/>
        </w:rPr>
        <w:t>Este trabalho é de inteira responsabilidade de seu autor, não representando necessariamente a opinião da Câmara dos Deputados.</w:t>
      </w:r>
      <w:r w:rsidR="001E0BB2">
        <w:rPr>
          <w:rFonts w:ascii="Times New Roman" w:hAnsi="Times New Roman"/>
          <w:b/>
          <w:sz w:val="28"/>
          <w:szCs w:val="28"/>
        </w:rPr>
        <w:br w:type="page"/>
      </w:r>
    </w:p>
    <w:p w:rsidR="007D55C7" w:rsidRDefault="007D55C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7774AB" w:rsidRDefault="007774AB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A37E3" w:rsidRPr="004156D3" w:rsidRDefault="00DA37E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337F37" w:rsidRPr="004156D3" w:rsidRDefault="00337F37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</w:p>
    <w:p w:rsidR="00D51323" w:rsidRPr="004156D3" w:rsidRDefault="00D5132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 xml:space="preserve">NOTA TÉCNICA Nº </w:t>
      </w:r>
      <w:r w:rsidR="003812CC">
        <w:rPr>
          <w:rFonts w:cs="Arial"/>
          <w:b/>
          <w:sz w:val="22"/>
          <w:szCs w:val="22"/>
        </w:rPr>
        <w:t>20</w:t>
      </w:r>
      <w:r w:rsidR="00B657F2" w:rsidRPr="004156D3">
        <w:rPr>
          <w:rFonts w:cs="Arial"/>
          <w:b/>
          <w:sz w:val="22"/>
          <w:szCs w:val="22"/>
        </w:rPr>
        <w:t xml:space="preserve">, de </w:t>
      </w:r>
      <w:proofErr w:type="gramStart"/>
      <w:r w:rsidR="00B657F2" w:rsidRPr="004156D3">
        <w:rPr>
          <w:rFonts w:cs="Arial"/>
          <w:b/>
          <w:sz w:val="22"/>
          <w:szCs w:val="22"/>
        </w:rPr>
        <w:t>201</w:t>
      </w:r>
      <w:r w:rsidR="00614349">
        <w:rPr>
          <w:rFonts w:cs="Arial"/>
          <w:b/>
          <w:sz w:val="22"/>
          <w:szCs w:val="22"/>
        </w:rPr>
        <w:t>9</w:t>
      </w:r>
      <w:proofErr w:type="gramEnd"/>
    </w:p>
    <w:p w:rsidR="00B657F2" w:rsidRPr="004156D3" w:rsidRDefault="00B657F2" w:rsidP="00B657F2">
      <w:pPr>
        <w:keepNext/>
        <w:ind w:left="426"/>
        <w:jc w:val="both"/>
        <w:outlineLvl w:val="0"/>
        <w:rPr>
          <w:rFonts w:cs="Arial"/>
          <w:b/>
          <w:sz w:val="22"/>
          <w:szCs w:val="22"/>
        </w:rPr>
      </w:pPr>
    </w:p>
    <w:p w:rsidR="00B657F2" w:rsidRPr="0064306E" w:rsidRDefault="00B657F2" w:rsidP="002A514C">
      <w:pPr>
        <w:keepNext/>
        <w:ind w:left="5387"/>
        <w:jc w:val="both"/>
        <w:outlineLvl w:val="0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>Subsídios para a apreciação da</w:t>
      </w:r>
      <w:r w:rsidRPr="004156D3">
        <w:rPr>
          <w:rFonts w:cs="Arial"/>
          <w:sz w:val="22"/>
          <w:szCs w:val="22"/>
        </w:rPr>
        <w:t xml:space="preserve"> </w:t>
      </w:r>
      <w:r w:rsidR="00EA02B2" w:rsidRPr="004156D3">
        <w:rPr>
          <w:rFonts w:cs="Arial"/>
          <w:b/>
          <w:sz w:val="22"/>
          <w:szCs w:val="22"/>
        </w:rPr>
        <w:t>Medida Provisória n.</w:t>
      </w:r>
      <w:r w:rsidR="00EA02B2" w:rsidRPr="0064306E">
        <w:rPr>
          <w:rFonts w:cs="Arial"/>
          <w:b/>
          <w:sz w:val="22"/>
          <w:szCs w:val="22"/>
        </w:rPr>
        <w:t xml:space="preserve">º </w:t>
      </w:r>
      <w:r w:rsidR="0033478E" w:rsidRPr="0064306E">
        <w:rPr>
          <w:rFonts w:cs="Arial"/>
          <w:b/>
          <w:sz w:val="22"/>
          <w:szCs w:val="22"/>
        </w:rPr>
        <w:t>8</w:t>
      </w:r>
      <w:r w:rsidR="00614349">
        <w:rPr>
          <w:rFonts w:cs="Arial"/>
          <w:b/>
          <w:sz w:val="22"/>
          <w:szCs w:val="22"/>
        </w:rPr>
        <w:t>8</w:t>
      </w:r>
      <w:r w:rsidR="001B1756">
        <w:rPr>
          <w:rFonts w:cs="Arial"/>
          <w:b/>
          <w:sz w:val="22"/>
          <w:szCs w:val="22"/>
        </w:rPr>
        <w:t>5</w:t>
      </w:r>
      <w:r w:rsidRPr="0064306E">
        <w:rPr>
          <w:rFonts w:cs="Arial"/>
          <w:b/>
          <w:sz w:val="22"/>
          <w:szCs w:val="22"/>
        </w:rPr>
        <w:t xml:space="preserve">, de </w:t>
      </w:r>
      <w:r w:rsidR="00614349">
        <w:rPr>
          <w:rFonts w:cs="Arial"/>
          <w:b/>
          <w:sz w:val="22"/>
          <w:szCs w:val="22"/>
        </w:rPr>
        <w:t>17</w:t>
      </w:r>
      <w:r w:rsidRPr="0064306E">
        <w:rPr>
          <w:rFonts w:cs="Arial"/>
          <w:b/>
          <w:sz w:val="22"/>
          <w:szCs w:val="22"/>
        </w:rPr>
        <w:t xml:space="preserve"> de </w:t>
      </w:r>
      <w:r w:rsidR="00614349">
        <w:rPr>
          <w:rFonts w:cs="Arial"/>
          <w:b/>
          <w:sz w:val="22"/>
          <w:szCs w:val="22"/>
        </w:rPr>
        <w:t>junho</w:t>
      </w:r>
      <w:r w:rsidRPr="0064306E">
        <w:rPr>
          <w:rFonts w:cs="Arial"/>
          <w:b/>
          <w:sz w:val="22"/>
          <w:szCs w:val="22"/>
        </w:rPr>
        <w:t xml:space="preserve"> de 201</w:t>
      </w:r>
      <w:r w:rsidR="00614349">
        <w:rPr>
          <w:rFonts w:cs="Arial"/>
          <w:b/>
          <w:sz w:val="22"/>
          <w:szCs w:val="22"/>
        </w:rPr>
        <w:t>9</w:t>
      </w:r>
      <w:r w:rsidRPr="0064306E">
        <w:rPr>
          <w:rFonts w:cs="Arial"/>
          <w:b/>
          <w:sz w:val="22"/>
          <w:szCs w:val="22"/>
        </w:rPr>
        <w:t>, quanto à adequação orçamentária e financeira.</w:t>
      </w:r>
      <w:bookmarkStart w:id="0" w:name="_GoBack"/>
      <w:bookmarkEnd w:id="0"/>
    </w:p>
    <w:p w:rsidR="00B657F2" w:rsidRDefault="00B657F2" w:rsidP="00B657F2">
      <w:pPr>
        <w:ind w:left="426"/>
        <w:jc w:val="both"/>
        <w:rPr>
          <w:rFonts w:cs="Arial"/>
          <w:sz w:val="22"/>
          <w:szCs w:val="22"/>
        </w:rPr>
      </w:pPr>
    </w:p>
    <w:p w:rsidR="007D55C7" w:rsidRPr="0064306E" w:rsidRDefault="007D55C7" w:rsidP="00B657F2">
      <w:pPr>
        <w:ind w:left="426"/>
        <w:jc w:val="both"/>
        <w:rPr>
          <w:rFonts w:cs="Arial"/>
          <w:sz w:val="22"/>
          <w:szCs w:val="22"/>
        </w:rPr>
      </w:pPr>
    </w:p>
    <w:p w:rsidR="006C676C" w:rsidRDefault="006C676C" w:rsidP="00B657F2">
      <w:pPr>
        <w:ind w:left="426"/>
        <w:jc w:val="both"/>
        <w:rPr>
          <w:rFonts w:ascii="Times New Roman" w:hAnsi="Times New Roman"/>
        </w:rPr>
      </w:pPr>
    </w:p>
    <w:p w:rsidR="00EA02B2" w:rsidRDefault="00EA02B2" w:rsidP="0037591F">
      <w:pPr>
        <w:pStyle w:val="Corpodetexto"/>
        <w:spacing w:after="240"/>
        <w:jc w:val="left"/>
        <w:rPr>
          <w:rFonts w:cs="Arial"/>
          <w:color w:val="000000"/>
          <w:szCs w:val="24"/>
        </w:rPr>
      </w:pPr>
      <w:r w:rsidRPr="00EA02B2">
        <w:rPr>
          <w:rFonts w:cs="Arial"/>
          <w:color w:val="000000"/>
          <w:szCs w:val="24"/>
        </w:rPr>
        <w:t>I – INTRODUÇÃO</w:t>
      </w:r>
    </w:p>
    <w:p w:rsidR="00EA02B2" w:rsidRPr="001B1756" w:rsidRDefault="00EA02B2" w:rsidP="00EA02B2">
      <w:pPr>
        <w:pStyle w:val="Corpodetexto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1B1756">
        <w:rPr>
          <w:rFonts w:cs="Arial"/>
          <w:b w:val="0"/>
          <w:color w:val="auto"/>
          <w:sz w:val="22"/>
          <w:szCs w:val="22"/>
        </w:rPr>
        <w:t xml:space="preserve">Nos termos do art. 62 da Constituição Federal, </w:t>
      </w:r>
      <w:r w:rsidR="009B7DBF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Presidente da República submete ao Congresso Nacional a Medida </w:t>
      </w:r>
      <w:r w:rsidR="00943ADA" w:rsidRPr="001B1756">
        <w:rPr>
          <w:rFonts w:cs="Arial"/>
          <w:b w:val="0"/>
          <w:color w:val="auto"/>
          <w:sz w:val="22"/>
          <w:szCs w:val="22"/>
        </w:rPr>
        <w:t xml:space="preserve">Provisória nº </w:t>
      </w:r>
      <w:r w:rsidR="0033478E" w:rsidRPr="001B1756">
        <w:rPr>
          <w:rFonts w:cs="Arial"/>
          <w:b w:val="0"/>
          <w:color w:val="auto"/>
          <w:sz w:val="22"/>
          <w:szCs w:val="22"/>
        </w:rPr>
        <w:t>8</w:t>
      </w:r>
      <w:r w:rsidR="00614349">
        <w:rPr>
          <w:rFonts w:cs="Arial"/>
          <w:b w:val="0"/>
          <w:color w:val="auto"/>
          <w:sz w:val="22"/>
          <w:szCs w:val="22"/>
        </w:rPr>
        <w:t>8</w:t>
      </w:r>
      <w:r w:rsidR="001B1756" w:rsidRPr="001B1756">
        <w:rPr>
          <w:rFonts w:cs="Arial"/>
          <w:b w:val="0"/>
          <w:color w:val="auto"/>
          <w:sz w:val="22"/>
          <w:szCs w:val="22"/>
        </w:rPr>
        <w:t>5</w:t>
      </w:r>
      <w:r w:rsidRPr="001B1756">
        <w:rPr>
          <w:rFonts w:cs="Arial"/>
          <w:b w:val="0"/>
          <w:color w:val="auto"/>
          <w:sz w:val="22"/>
          <w:szCs w:val="22"/>
        </w:rPr>
        <w:t xml:space="preserve">, de </w:t>
      </w:r>
      <w:r w:rsidR="00614349">
        <w:rPr>
          <w:rFonts w:cs="Arial"/>
          <w:b w:val="0"/>
          <w:color w:val="auto"/>
          <w:sz w:val="22"/>
          <w:szCs w:val="22"/>
        </w:rPr>
        <w:t>17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</w:t>
      </w:r>
      <w:r w:rsidR="00614349">
        <w:rPr>
          <w:rFonts w:cs="Arial"/>
          <w:b w:val="0"/>
          <w:color w:val="auto"/>
          <w:sz w:val="22"/>
          <w:szCs w:val="22"/>
        </w:rPr>
        <w:t>junho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201</w:t>
      </w:r>
      <w:r w:rsidR="00614349">
        <w:rPr>
          <w:rFonts w:cs="Arial"/>
          <w:b w:val="0"/>
          <w:color w:val="auto"/>
          <w:sz w:val="22"/>
          <w:szCs w:val="22"/>
        </w:rPr>
        <w:t>9</w:t>
      </w:r>
      <w:r w:rsidRPr="001B1756">
        <w:rPr>
          <w:rFonts w:cs="Arial"/>
          <w:b w:val="0"/>
          <w:color w:val="auto"/>
          <w:sz w:val="22"/>
          <w:szCs w:val="22"/>
        </w:rPr>
        <w:t xml:space="preserve">, que </w:t>
      </w:r>
      <w:r w:rsidRPr="00614349">
        <w:rPr>
          <w:rFonts w:cs="Arial"/>
          <w:b w:val="0"/>
          <w:i/>
          <w:color w:val="auto"/>
          <w:sz w:val="22"/>
          <w:szCs w:val="22"/>
        </w:rPr>
        <w:t>“</w:t>
      </w:r>
      <w:r w:rsidR="00614349" w:rsidRPr="00614349">
        <w:rPr>
          <w:rFonts w:cs="Arial"/>
          <w:b w:val="0"/>
          <w:i/>
          <w:color w:val="auto"/>
          <w:sz w:val="22"/>
          <w:szCs w:val="22"/>
        </w:rPr>
        <w:t>Altera a Lei nº 7.560, de 19 de dezembro de 1986, para alterar disposições acerca do Fundo Nacional Antidrogas, a Lei nº 11.343, de 23 de agosto de 2006, que estabelece normas para repressão à produção não autorizada e ao tráfico ilícito de drogas, e a Lei nº 8.745, de 9 de dezembro de 1993, que dispõe sobre a contratação por tempo determinado para atender a necessidade temporária de excepcional interesse público.</w:t>
      </w:r>
      <w:r w:rsidRPr="00614349">
        <w:rPr>
          <w:rFonts w:cs="Arial"/>
          <w:b w:val="0"/>
          <w:i/>
          <w:color w:val="auto"/>
          <w:sz w:val="22"/>
          <w:szCs w:val="22"/>
        </w:rPr>
        <w:t>”</w:t>
      </w:r>
    </w:p>
    <w:p w:rsidR="00EA02B2" w:rsidRPr="001B1756" w:rsidRDefault="00EA02B2" w:rsidP="00EA02B2">
      <w:pPr>
        <w:ind w:firstLine="1134"/>
        <w:jc w:val="both"/>
        <w:rPr>
          <w:rFonts w:cs="Arial"/>
          <w:sz w:val="22"/>
          <w:szCs w:val="22"/>
        </w:rPr>
      </w:pPr>
      <w:r w:rsidRPr="001B1756">
        <w:rPr>
          <w:rFonts w:cs="Arial"/>
          <w:sz w:val="22"/>
          <w:szCs w:val="22"/>
        </w:rPr>
        <w:t>A presente Nota Técnica atende à determinação do art.19 da Resolução n.º 1, de 2002, do Congresso Nacional, o qual estabelece: “O órgão de consultoria e assessoramento orçamentário da Casa a que pertencer o Relator de Medida Provisória encaminhará aos Relatores e à Comissão, no prazo de 5 (cinco) dias de sua publicação, nota técnica com subsídios acerca da adequação financeira e orçamentária de Medida Provisória”.</w:t>
      </w:r>
    </w:p>
    <w:p w:rsidR="00EF2AA2" w:rsidRPr="001B1756" w:rsidRDefault="00EF2AA2" w:rsidP="00EA02B2">
      <w:pPr>
        <w:ind w:firstLine="1134"/>
        <w:jc w:val="both"/>
        <w:rPr>
          <w:rFonts w:cs="Arial"/>
          <w:sz w:val="22"/>
          <w:szCs w:val="22"/>
        </w:rPr>
      </w:pPr>
    </w:p>
    <w:p w:rsidR="001332FA" w:rsidRPr="001B1756" w:rsidRDefault="001332FA" w:rsidP="00EA02B2">
      <w:pPr>
        <w:ind w:firstLine="1134"/>
        <w:jc w:val="both"/>
        <w:rPr>
          <w:rFonts w:cs="Arial"/>
          <w:sz w:val="22"/>
          <w:szCs w:val="22"/>
        </w:rPr>
      </w:pPr>
    </w:p>
    <w:p w:rsidR="00EA02B2" w:rsidRPr="001B1756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1B1756">
        <w:rPr>
          <w:rFonts w:cs="Arial"/>
          <w:color w:val="auto"/>
          <w:szCs w:val="24"/>
        </w:rPr>
        <w:t>II – SÍNTESE E ASPECTOS RELEVANTES</w:t>
      </w:r>
    </w:p>
    <w:p w:rsidR="00267921" w:rsidRPr="00B15220" w:rsidRDefault="00EA02B2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B15220">
        <w:rPr>
          <w:rFonts w:cs="Arial"/>
          <w:b w:val="0"/>
          <w:color w:val="auto"/>
          <w:sz w:val="22"/>
          <w:szCs w:val="22"/>
        </w:rPr>
        <w:t xml:space="preserve">A Medida Provisória nº </w:t>
      </w:r>
      <w:r w:rsidR="0033478E" w:rsidRPr="00B15220">
        <w:rPr>
          <w:rFonts w:cs="Arial"/>
          <w:b w:val="0"/>
          <w:color w:val="auto"/>
          <w:sz w:val="22"/>
          <w:szCs w:val="22"/>
        </w:rPr>
        <w:t>8</w:t>
      </w:r>
      <w:r w:rsidR="005E3B58" w:rsidRPr="00B15220">
        <w:rPr>
          <w:rFonts w:cs="Arial"/>
          <w:b w:val="0"/>
          <w:color w:val="auto"/>
          <w:sz w:val="22"/>
          <w:szCs w:val="22"/>
        </w:rPr>
        <w:t>8</w:t>
      </w:r>
      <w:r w:rsidR="001B1756" w:rsidRPr="00B15220">
        <w:rPr>
          <w:rFonts w:cs="Arial"/>
          <w:b w:val="0"/>
          <w:color w:val="auto"/>
          <w:sz w:val="22"/>
          <w:szCs w:val="22"/>
        </w:rPr>
        <w:t>5</w:t>
      </w:r>
      <w:r w:rsidRPr="00B15220">
        <w:rPr>
          <w:rFonts w:cs="Arial"/>
          <w:b w:val="0"/>
          <w:color w:val="auto"/>
          <w:sz w:val="22"/>
          <w:szCs w:val="22"/>
        </w:rPr>
        <w:t>/201</w:t>
      </w:r>
      <w:r w:rsidR="005E3B58" w:rsidRPr="00B15220">
        <w:rPr>
          <w:rFonts w:cs="Arial"/>
          <w:b w:val="0"/>
          <w:color w:val="auto"/>
          <w:sz w:val="22"/>
          <w:szCs w:val="22"/>
        </w:rPr>
        <w:t>9</w:t>
      </w:r>
      <w:r w:rsidRPr="00B15220">
        <w:rPr>
          <w:rFonts w:cs="Arial"/>
          <w:b w:val="0"/>
          <w:color w:val="auto"/>
          <w:sz w:val="22"/>
          <w:szCs w:val="22"/>
        </w:rPr>
        <w:t xml:space="preserve"> </w:t>
      </w:r>
      <w:r w:rsidR="005E3B58" w:rsidRPr="00B15220">
        <w:rPr>
          <w:rFonts w:cs="Arial"/>
          <w:b w:val="0"/>
          <w:color w:val="auto"/>
          <w:sz w:val="22"/>
          <w:szCs w:val="22"/>
        </w:rPr>
        <w:t xml:space="preserve">altera legislação relacionada ao combate às drogas, com alteração das Leis nº </w:t>
      </w:r>
      <w:r w:rsidR="00B15220" w:rsidRPr="00B15220">
        <w:rPr>
          <w:rFonts w:cs="Arial"/>
          <w:b w:val="0"/>
          <w:color w:val="auto"/>
          <w:sz w:val="22"/>
          <w:szCs w:val="22"/>
        </w:rPr>
        <w:t xml:space="preserve">7.560, de 1986, </w:t>
      </w:r>
      <w:r w:rsidR="009A4581">
        <w:rPr>
          <w:rFonts w:cs="Arial"/>
          <w:b w:val="0"/>
          <w:color w:val="auto"/>
          <w:sz w:val="22"/>
          <w:szCs w:val="22"/>
        </w:rPr>
        <w:t xml:space="preserve">nº </w:t>
      </w:r>
      <w:r w:rsidR="00B15220" w:rsidRPr="00B15220">
        <w:rPr>
          <w:rFonts w:cs="Arial"/>
          <w:b w:val="0"/>
          <w:color w:val="auto"/>
          <w:sz w:val="22"/>
          <w:szCs w:val="22"/>
        </w:rPr>
        <w:t>11.343, de 2006 e</w:t>
      </w:r>
      <w:r w:rsidR="009A4581">
        <w:rPr>
          <w:rFonts w:cs="Arial"/>
          <w:b w:val="0"/>
          <w:color w:val="auto"/>
          <w:sz w:val="22"/>
          <w:szCs w:val="22"/>
        </w:rPr>
        <w:t xml:space="preserve"> nº</w:t>
      </w:r>
      <w:r w:rsidR="00B15220" w:rsidRPr="00B15220">
        <w:rPr>
          <w:rFonts w:cs="Arial"/>
          <w:b w:val="0"/>
          <w:color w:val="auto"/>
          <w:sz w:val="22"/>
          <w:szCs w:val="22"/>
        </w:rPr>
        <w:t xml:space="preserve"> 8.745, de 1993. Os efeitos pretendidos são especialmente: 1) determinar vinculação ao </w:t>
      </w:r>
      <w:proofErr w:type="spellStart"/>
      <w:r w:rsidR="00B15220" w:rsidRPr="00B15220">
        <w:rPr>
          <w:rFonts w:cs="Arial"/>
          <w:b w:val="0"/>
          <w:color w:val="auto"/>
          <w:sz w:val="22"/>
          <w:szCs w:val="22"/>
        </w:rPr>
        <w:t>Funad</w:t>
      </w:r>
      <w:proofErr w:type="spellEnd"/>
      <w:r w:rsidR="00B15220" w:rsidRPr="00B15220">
        <w:rPr>
          <w:rFonts w:cs="Arial"/>
          <w:b w:val="0"/>
          <w:color w:val="auto"/>
          <w:sz w:val="22"/>
          <w:szCs w:val="22"/>
        </w:rPr>
        <w:t xml:space="preserve"> dos rendimentos próprios financeiros, bem como o repasse entre 20% e 40% das alienações relativas a apreensões a título de transferência voluntária para os estados; 2) agilização dos procedimentos de destinação dos bens e valores apreendidos do tráfico, e 3) autorizar a contratação temporária de engenheiros, a fim de agilizar a construção de penitenciárias</w:t>
      </w:r>
      <w:r w:rsidR="00F719ED" w:rsidRPr="00B15220">
        <w:rPr>
          <w:rFonts w:cs="Arial"/>
          <w:b w:val="0"/>
          <w:color w:val="auto"/>
          <w:sz w:val="22"/>
          <w:szCs w:val="22"/>
        </w:rPr>
        <w:t>.</w:t>
      </w:r>
    </w:p>
    <w:p w:rsidR="001F36C0" w:rsidRPr="00FC744E" w:rsidRDefault="00EA02B2" w:rsidP="007D55C7">
      <w:pPr>
        <w:pStyle w:val="Recuodecorpodetexto"/>
        <w:spacing w:before="120"/>
        <w:ind w:firstLine="1134"/>
        <w:rPr>
          <w:rFonts w:cs="Arial"/>
          <w:szCs w:val="24"/>
        </w:rPr>
      </w:pPr>
      <w:r w:rsidRPr="00FC744E">
        <w:rPr>
          <w:rFonts w:cs="Arial"/>
          <w:szCs w:val="24"/>
        </w:rPr>
        <w:t xml:space="preserve">A Exposição de Motivos </w:t>
      </w:r>
      <w:r w:rsidR="00EB317A" w:rsidRPr="00FC744E">
        <w:rPr>
          <w:rFonts w:cs="Arial"/>
          <w:szCs w:val="24"/>
        </w:rPr>
        <w:t>(</w:t>
      </w:r>
      <w:r w:rsidRPr="00FC744E">
        <w:rPr>
          <w:rFonts w:cs="Arial"/>
          <w:szCs w:val="24"/>
        </w:rPr>
        <w:t>EM</w:t>
      </w:r>
      <w:r w:rsidR="00EB317A" w:rsidRPr="00FC744E">
        <w:rPr>
          <w:rFonts w:cs="Arial"/>
          <w:szCs w:val="24"/>
        </w:rPr>
        <w:t>)</w:t>
      </w:r>
      <w:r w:rsidRPr="00FC744E">
        <w:rPr>
          <w:rFonts w:cs="Arial"/>
          <w:szCs w:val="24"/>
        </w:rPr>
        <w:t xml:space="preserve"> nº 00</w:t>
      </w:r>
      <w:r w:rsidR="00FC744E" w:rsidRPr="00FC744E">
        <w:rPr>
          <w:rFonts w:cs="Arial"/>
          <w:szCs w:val="24"/>
        </w:rPr>
        <w:t>044</w:t>
      </w:r>
      <w:r w:rsidRPr="00FC744E">
        <w:rPr>
          <w:rFonts w:cs="Arial"/>
          <w:szCs w:val="24"/>
        </w:rPr>
        <w:t>/201</w:t>
      </w:r>
      <w:r w:rsidR="00FC744E" w:rsidRPr="00FC744E">
        <w:rPr>
          <w:rFonts w:cs="Arial"/>
          <w:szCs w:val="24"/>
        </w:rPr>
        <w:t>9/MJSP/ME</w:t>
      </w:r>
      <w:r w:rsidRPr="00FC744E">
        <w:rPr>
          <w:rFonts w:cs="Arial"/>
          <w:szCs w:val="24"/>
        </w:rPr>
        <w:t xml:space="preserve">, de </w:t>
      </w:r>
      <w:r w:rsidR="00AF3DB5" w:rsidRPr="00FC744E">
        <w:rPr>
          <w:rFonts w:cs="Arial"/>
          <w:szCs w:val="24"/>
        </w:rPr>
        <w:t>1</w:t>
      </w:r>
      <w:r w:rsidR="00FC744E" w:rsidRPr="00FC744E">
        <w:rPr>
          <w:rFonts w:cs="Arial"/>
          <w:szCs w:val="24"/>
        </w:rPr>
        <w:t>7</w:t>
      </w:r>
      <w:r w:rsidRPr="00FC744E">
        <w:rPr>
          <w:rFonts w:cs="Arial"/>
          <w:szCs w:val="24"/>
        </w:rPr>
        <w:t xml:space="preserve"> de </w:t>
      </w:r>
      <w:r w:rsidR="00FC744E" w:rsidRPr="00FC744E">
        <w:rPr>
          <w:rFonts w:cs="Arial"/>
          <w:szCs w:val="24"/>
        </w:rPr>
        <w:t>junho</w:t>
      </w:r>
      <w:r w:rsidRPr="00FC744E">
        <w:rPr>
          <w:rFonts w:cs="Arial"/>
          <w:szCs w:val="24"/>
        </w:rPr>
        <w:t xml:space="preserve"> de 201</w:t>
      </w:r>
      <w:r w:rsidR="00FC744E" w:rsidRPr="00FC744E">
        <w:rPr>
          <w:rFonts w:cs="Arial"/>
          <w:szCs w:val="24"/>
        </w:rPr>
        <w:t>9</w:t>
      </w:r>
      <w:r w:rsidRPr="00FC744E">
        <w:rPr>
          <w:rFonts w:cs="Arial"/>
          <w:szCs w:val="24"/>
        </w:rPr>
        <w:t xml:space="preserve">, que acompanha a referida MP, </w:t>
      </w:r>
      <w:r w:rsidR="001E34C6" w:rsidRPr="00FC744E">
        <w:rPr>
          <w:rFonts w:cs="Arial"/>
          <w:szCs w:val="24"/>
        </w:rPr>
        <w:t>esclarece</w:t>
      </w:r>
      <w:r w:rsidR="00FC744E" w:rsidRPr="00FC744E">
        <w:rPr>
          <w:rFonts w:cs="Arial"/>
          <w:szCs w:val="24"/>
        </w:rPr>
        <w:t>,</w:t>
      </w:r>
      <w:r w:rsidR="001E34C6" w:rsidRPr="00FC744E">
        <w:rPr>
          <w:rFonts w:cs="Arial"/>
          <w:szCs w:val="24"/>
        </w:rPr>
        <w:t xml:space="preserve"> </w:t>
      </w:r>
      <w:r w:rsidR="00FC744E" w:rsidRPr="00FC744E">
        <w:rPr>
          <w:rFonts w:cs="Arial"/>
          <w:szCs w:val="24"/>
        </w:rPr>
        <w:t>ademais, sobre os aspectos orçamentário-financeiros</w:t>
      </w:r>
      <w:r w:rsidR="00FC744E">
        <w:rPr>
          <w:rFonts w:cs="Arial"/>
          <w:szCs w:val="24"/>
        </w:rPr>
        <w:t xml:space="preserve"> da destinação de recursos aos estados</w:t>
      </w:r>
      <w:r w:rsidR="00FC744E" w:rsidRPr="00FC744E">
        <w:rPr>
          <w:rFonts w:cs="Arial"/>
          <w:szCs w:val="24"/>
        </w:rPr>
        <w:t xml:space="preserve"> que “não haverá aumento de despesas para a União, pois os convênios preveem repasse de 80% dos valores arrecadados aos entes (Nota Técnica n.º 7/2019/DGA/SENAD/MJ anexada)”</w:t>
      </w:r>
      <w:r w:rsidR="00710E3C" w:rsidRPr="00FC744E">
        <w:rPr>
          <w:rFonts w:cs="Arial"/>
          <w:szCs w:val="24"/>
        </w:rPr>
        <w:t>.</w:t>
      </w:r>
    </w:p>
    <w:p w:rsidR="00F2048F" w:rsidRPr="007E6F12" w:rsidRDefault="00FC744E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  <w:r w:rsidRPr="007E6F12">
        <w:rPr>
          <w:rFonts w:eastAsia="Calibri" w:cs="Arial"/>
          <w:szCs w:val="24"/>
          <w:lang w:eastAsia="en-US"/>
        </w:rPr>
        <w:t xml:space="preserve">Em relação </w:t>
      </w:r>
      <w:r w:rsidR="007E6F12" w:rsidRPr="007E6F12">
        <w:rPr>
          <w:rFonts w:eastAsia="Calibri" w:cs="Arial"/>
          <w:szCs w:val="24"/>
          <w:lang w:eastAsia="en-US"/>
        </w:rPr>
        <w:t xml:space="preserve">à autorização </w:t>
      </w:r>
      <w:r w:rsidR="007E6F12">
        <w:rPr>
          <w:rFonts w:eastAsia="Calibri" w:cs="Arial"/>
          <w:szCs w:val="24"/>
          <w:lang w:eastAsia="en-US"/>
        </w:rPr>
        <w:t xml:space="preserve">para contratação temporária de engenheiros, a EM esclarece que se prevê aumento de despesa, mas que tal despesa já é prevista no orçamento do </w:t>
      </w:r>
      <w:proofErr w:type="spellStart"/>
      <w:r w:rsidR="007E6F12">
        <w:rPr>
          <w:rFonts w:eastAsia="Calibri" w:cs="Arial"/>
          <w:szCs w:val="24"/>
          <w:lang w:eastAsia="en-US"/>
        </w:rPr>
        <w:t>Funpen</w:t>
      </w:r>
      <w:proofErr w:type="spellEnd"/>
      <w:r w:rsidR="007E6F12">
        <w:rPr>
          <w:rFonts w:eastAsia="Calibri" w:cs="Arial"/>
          <w:szCs w:val="24"/>
          <w:lang w:eastAsia="en-US"/>
        </w:rPr>
        <w:t xml:space="preserve"> (ação: “155N – Aprimoramento da Infraestrutura e Modernização do Sistema Penal”), e </w:t>
      </w:r>
      <w:r w:rsidR="007E6F12">
        <w:rPr>
          <w:rFonts w:eastAsia="Calibri" w:cs="Arial"/>
          <w:szCs w:val="24"/>
          <w:lang w:eastAsia="en-US"/>
        </w:rPr>
        <w:lastRenderedPageBreak/>
        <w:t>que, sendo de natureza discricionária (GND 3 – Outras Despesas Correntes), o controle de tal despesa se efetivará no momento da contratação</w:t>
      </w:r>
      <w:r w:rsidR="00504E9A" w:rsidRPr="007E6F12">
        <w:rPr>
          <w:rFonts w:eastAsia="Calibri" w:cs="Arial"/>
          <w:szCs w:val="24"/>
          <w:lang w:eastAsia="en-US"/>
        </w:rPr>
        <w:t>.</w:t>
      </w:r>
    </w:p>
    <w:p w:rsidR="00DA37E3" w:rsidRPr="007E6F12" w:rsidRDefault="00ED61F3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>É também enfatizado n</w:t>
      </w:r>
      <w:r w:rsidR="0054496C">
        <w:rPr>
          <w:rFonts w:eastAsia="Calibri" w:cs="Arial"/>
          <w:szCs w:val="24"/>
          <w:lang w:eastAsia="en-US"/>
        </w:rPr>
        <w:t xml:space="preserve">a EM que a contratação temporária de engenheiros não é considerada substituição de servidores; dessa forma, não sendo tal despesa objeto de controle típico de despesas com pessoal. </w:t>
      </w:r>
    </w:p>
    <w:p w:rsidR="007D55C7" w:rsidRPr="007E6F12" w:rsidRDefault="007D55C7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</w:p>
    <w:p w:rsidR="00EA02B2" w:rsidRPr="007E6F12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7E6F12">
        <w:rPr>
          <w:rFonts w:cs="Arial"/>
          <w:color w:val="auto"/>
          <w:szCs w:val="24"/>
        </w:rPr>
        <w:t xml:space="preserve">III </w:t>
      </w:r>
      <w:r w:rsidR="001223FA" w:rsidRPr="007E6F12">
        <w:rPr>
          <w:rFonts w:cs="Arial"/>
          <w:color w:val="auto"/>
          <w:szCs w:val="24"/>
        </w:rPr>
        <w:t>–</w:t>
      </w:r>
      <w:r w:rsidRPr="007E6F12">
        <w:rPr>
          <w:rFonts w:cs="Arial"/>
          <w:color w:val="auto"/>
          <w:szCs w:val="24"/>
        </w:rPr>
        <w:t xml:space="preserve"> DA</w:t>
      </w:r>
      <w:r w:rsidR="001223FA" w:rsidRPr="007E6F12">
        <w:rPr>
          <w:rFonts w:cs="Arial"/>
          <w:color w:val="auto"/>
          <w:szCs w:val="24"/>
        </w:rPr>
        <w:t xml:space="preserve"> </w:t>
      </w:r>
      <w:r w:rsidRPr="007E6F12">
        <w:rPr>
          <w:rFonts w:cs="Arial"/>
          <w:color w:val="auto"/>
          <w:szCs w:val="24"/>
        </w:rPr>
        <w:t>ADEQUAÇÃO FINANCEIRA E ORÇAMENTÁRIA</w:t>
      </w:r>
    </w:p>
    <w:p w:rsidR="00622849" w:rsidRPr="0043485D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43485D">
        <w:rPr>
          <w:rFonts w:cs="Arial"/>
          <w:b w:val="0"/>
          <w:color w:val="auto"/>
          <w:sz w:val="22"/>
          <w:szCs w:val="22"/>
        </w:rPr>
        <w:t>O § 1º do art. 5º da Resolução nº 1, de 2002 – CN, que “Dispõe sobre a apreciação, pelo Congresso Nacional, das Medidas Provisórias a que se refere o art. 62 da Constituição Federal, e dá outras providências”, refere-se da seguinte forma ao exame de adequação orçamentária e financeira: “O exame de compatibilidade e adequação orçamentária e financeira das Medidas Provisórias abrange a análise da repercussão sobre a receita ou a despesa pública da União e da implicação quanto ao atendimento das normas orçamentárias e financeiras vigentes, em especial a conformidade com a Lei Complementar nº 101, de 4 de maio de 2000, a lei do plano plurianual, a lei de diretrizes orçamentárias e a lei orçamentária da União”.</w:t>
      </w:r>
    </w:p>
    <w:p w:rsidR="00622849" w:rsidRPr="00922933" w:rsidRDefault="00922933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922933">
        <w:rPr>
          <w:rFonts w:cs="Arial"/>
          <w:b w:val="0"/>
          <w:color w:val="auto"/>
          <w:sz w:val="22"/>
          <w:szCs w:val="22"/>
        </w:rPr>
        <w:t>De acordo com o esclarecido no item II,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não se verific</w:t>
      </w:r>
      <w:r w:rsidRPr="00922933">
        <w:rPr>
          <w:rFonts w:cs="Arial"/>
          <w:b w:val="0"/>
          <w:color w:val="auto"/>
          <w:sz w:val="22"/>
          <w:szCs w:val="22"/>
        </w:rPr>
        <w:t>a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infringência aos dispositivos pertinentes da legislação orçamentária</w:t>
      </w:r>
      <w:r w:rsidRPr="00922933">
        <w:rPr>
          <w:rFonts w:cs="Arial"/>
          <w:b w:val="0"/>
          <w:color w:val="auto"/>
          <w:sz w:val="22"/>
          <w:szCs w:val="22"/>
        </w:rPr>
        <w:t>,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 em especial </w:t>
      </w:r>
      <w:r w:rsidRPr="00922933">
        <w:rPr>
          <w:rFonts w:cs="Arial"/>
          <w:b w:val="0"/>
          <w:color w:val="auto"/>
          <w:sz w:val="22"/>
          <w:szCs w:val="22"/>
        </w:rPr>
        <w:t>à</w:t>
      </w:r>
      <w:r w:rsidR="00622849" w:rsidRPr="00922933">
        <w:rPr>
          <w:rFonts w:cs="Arial"/>
          <w:b w:val="0"/>
          <w:color w:val="auto"/>
          <w:sz w:val="22"/>
          <w:szCs w:val="22"/>
        </w:rPr>
        <w:t xml:space="preserve">queles </w:t>
      </w:r>
      <w:r w:rsidRPr="00922933">
        <w:rPr>
          <w:rFonts w:cs="Arial"/>
          <w:b w:val="0"/>
          <w:color w:val="auto"/>
          <w:sz w:val="22"/>
          <w:szCs w:val="22"/>
        </w:rPr>
        <w:t>relacionados no dispositivo acima</w:t>
      </w:r>
      <w:r w:rsidR="00622849" w:rsidRPr="00922933">
        <w:rPr>
          <w:rFonts w:cs="Arial"/>
          <w:b w:val="0"/>
          <w:color w:val="auto"/>
          <w:sz w:val="22"/>
          <w:szCs w:val="22"/>
        </w:rPr>
        <w:t>.</w:t>
      </w:r>
    </w:p>
    <w:p w:rsidR="00845630" w:rsidRPr="00922933" w:rsidRDefault="0084563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CE0EC7" w:rsidRPr="00922933" w:rsidRDefault="00CE0EC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9764D" w:rsidRPr="00271B93" w:rsidRDefault="00B62AC7" w:rsidP="00B9764D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271B93">
        <w:rPr>
          <w:rFonts w:cs="Arial"/>
          <w:color w:val="auto"/>
          <w:szCs w:val="24"/>
        </w:rPr>
        <w:t>I</w:t>
      </w:r>
      <w:r w:rsidR="00B9764D" w:rsidRPr="00271B93">
        <w:rPr>
          <w:rFonts w:cs="Arial"/>
          <w:color w:val="auto"/>
          <w:szCs w:val="24"/>
        </w:rPr>
        <w:t>V – CONCLUSÃO</w:t>
      </w:r>
    </w:p>
    <w:p w:rsidR="00B9764D" w:rsidRPr="00271B93" w:rsidRDefault="00B9764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E2470" w:rsidRPr="00271B93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>Diante das informações aqui expostas, entendemos que a presente Medida Provisória atende a legislação aplicável</w:t>
      </w:r>
      <w:r w:rsidR="00311157" w:rsidRPr="00271B93">
        <w:rPr>
          <w:rFonts w:cs="Arial"/>
          <w:b w:val="0"/>
          <w:color w:val="auto"/>
          <w:sz w:val="22"/>
          <w:szCs w:val="22"/>
        </w:rPr>
        <w:t xml:space="preserve"> sob o ponto de vista da adequação orçamentária e financeira</w:t>
      </w:r>
      <w:r w:rsidR="00BE2470" w:rsidRPr="00271B93">
        <w:rPr>
          <w:rFonts w:cs="Arial"/>
          <w:b w:val="0"/>
          <w:color w:val="auto"/>
          <w:sz w:val="22"/>
          <w:szCs w:val="22"/>
        </w:rPr>
        <w:t>.</w:t>
      </w:r>
    </w:p>
    <w:p w:rsidR="00EA02B2" w:rsidRPr="00271B93" w:rsidRDefault="00E43C34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>São e</w:t>
      </w:r>
      <w:r w:rsidR="00EA02B2" w:rsidRPr="00271B93">
        <w:rPr>
          <w:rFonts w:cs="Arial"/>
          <w:b w:val="0"/>
          <w:color w:val="auto"/>
          <w:sz w:val="22"/>
          <w:szCs w:val="22"/>
        </w:rPr>
        <w:t>sses os subsídios</w:t>
      </w:r>
      <w:r w:rsidRPr="00271B93">
        <w:rPr>
          <w:rFonts w:cs="Arial"/>
          <w:b w:val="0"/>
          <w:color w:val="auto"/>
          <w:sz w:val="22"/>
          <w:szCs w:val="22"/>
        </w:rPr>
        <w:t xml:space="preserve"> considerados </w:t>
      </w:r>
      <w:r w:rsidR="001534B9" w:rsidRPr="00271B93">
        <w:rPr>
          <w:rFonts w:cs="Arial"/>
          <w:b w:val="0"/>
          <w:color w:val="auto"/>
          <w:sz w:val="22"/>
          <w:szCs w:val="22"/>
        </w:rPr>
        <w:t>pertinentes</w:t>
      </w:r>
      <w:r w:rsidR="00EA02B2" w:rsidRPr="00271B93">
        <w:rPr>
          <w:rFonts w:cs="Arial"/>
          <w:b w:val="0"/>
          <w:color w:val="auto"/>
          <w:sz w:val="22"/>
          <w:szCs w:val="22"/>
        </w:rPr>
        <w:t>.</w:t>
      </w:r>
    </w:p>
    <w:p w:rsidR="008652E0" w:rsidRPr="00271B93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337F37" w:rsidRPr="00271B93" w:rsidRDefault="00337F3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271B93">
        <w:rPr>
          <w:rFonts w:cs="Arial"/>
          <w:b w:val="0"/>
          <w:color w:val="auto"/>
          <w:sz w:val="22"/>
          <w:szCs w:val="22"/>
        </w:rPr>
        <w:t xml:space="preserve">Brasília, </w:t>
      </w:r>
      <w:r w:rsidR="00271B93" w:rsidRPr="00271B93">
        <w:rPr>
          <w:rFonts w:cs="Arial"/>
          <w:b w:val="0"/>
          <w:color w:val="auto"/>
          <w:sz w:val="22"/>
          <w:szCs w:val="22"/>
        </w:rPr>
        <w:t>5</w:t>
      </w:r>
      <w:r w:rsidRPr="00271B93">
        <w:rPr>
          <w:rFonts w:cs="Arial"/>
          <w:b w:val="0"/>
          <w:color w:val="auto"/>
          <w:sz w:val="22"/>
          <w:szCs w:val="22"/>
        </w:rPr>
        <w:t xml:space="preserve"> de </w:t>
      </w:r>
      <w:r w:rsidR="00271B93" w:rsidRPr="00271B93">
        <w:rPr>
          <w:rFonts w:cs="Arial"/>
          <w:b w:val="0"/>
          <w:color w:val="auto"/>
          <w:sz w:val="22"/>
          <w:szCs w:val="22"/>
        </w:rPr>
        <w:t>agosto</w:t>
      </w:r>
      <w:r w:rsidRPr="00271B93">
        <w:rPr>
          <w:rFonts w:cs="Arial"/>
          <w:b w:val="0"/>
          <w:color w:val="auto"/>
          <w:sz w:val="22"/>
          <w:szCs w:val="22"/>
        </w:rPr>
        <w:t xml:space="preserve"> de 201</w:t>
      </w:r>
      <w:r w:rsidR="00271B93" w:rsidRPr="00271B93">
        <w:rPr>
          <w:rFonts w:cs="Arial"/>
          <w:b w:val="0"/>
          <w:color w:val="auto"/>
          <w:sz w:val="22"/>
          <w:szCs w:val="22"/>
        </w:rPr>
        <w:t>9</w:t>
      </w:r>
      <w:r w:rsidRPr="00271B93">
        <w:rPr>
          <w:rFonts w:cs="Arial"/>
          <w:b w:val="0"/>
          <w:color w:val="auto"/>
          <w:sz w:val="22"/>
          <w:szCs w:val="22"/>
        </w:rPr>
        <w:t>.</w:t>
      </w:r>
    </w:p>
    <w:p w:rsidR="00337B48" w:rsidRPr="00614349" w:rsidRDefault="00337B48" w:rsidP="00C745D2">
      <w:pPr>
        <w:keepNext/>
        <w:spacing w:after="120" w:line="360" w:lineRule="auto"/>
        <w:ind w:left="425"/>
        <w:jc w:val="both"/>
        <w:outlineLvl w:val="1"/>
        <w:rPr>
          <w:rFonts w:ascii="Times New Roman" w:hAnsi="Times New Roman"/>
          <w:color w:val="984806" w:themeColor="accent6" w:themeShade="80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1E0BB2" w:rsidRPr="00845630" w:rsidRDefault="00DD5DFB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Fidelis Antonio Fantin Junior</w:t>
      </w:r>
    </w:p>
    <w:p w:rsidR="001E0BB2" w:rsidRPr="00845630" w:rsidRDefault="001E0BB2" w:rsidP="00C745D2">
      <w:pPr>
        <w:keepNext/>
        <w:spacing w:after="120" w:line="360" w:lineRule="auto"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Consultor de Orçamento e Fiscalização Financeira</w:t>
      </w:r>
      <w:r w:rsidR="00587F25" w:rsidRPr="00845630">
        <w:rPr>
          <w:rFonts w:cs="Arial"/>
          <w:sz w:val="22"/>
          <w:szCs w:val="22"/>
        </w:rPr>
        <w:t>/CD</w:t>
      </w:r>
    </w:p>
    <w:p w:rsidR="001E0BB2" w:rsidRPr="004B1929" w:rsidRDefault="001E0BB2" w:rsidP="00B657F2">
      <w:pPr>
        <w:spacing w:line="300" w:lineRule="auto"/>
        <w:ind w:left="426"/>
        <w:jc w:val="center"/>
        <w:rPr>
          <w:rFonts w:ascii="Times New Roman" w:hAnsi="Times New Roman"/>
          <w:color w:val="000000"/>
          <w:szCs w:val="24"/>
        </w:rPr>
      </w:pPr>
    </w:p>
    <w:sectPr w:rsidR="001E0BB2" w:rsidRPr="004B1929" w:rsidSect="007D55C7">
      <w:headerReference w:type="default" r:id="rId11"/>
      <w:footerReference w:type="even" r:id="rId12"/>
      <w:footerReference w:type="default" r:id="rId13"/>
      <w:pgSz w:w="11907" w:h="16840" w:code="9"/>
      <w:pgMar w:top="1134" w:right="1134" w:bottom="1560" w:left="1134" w:header="709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36" w:rsidRDefault="00F72E36">
      <w:r>
        <w:separator/>
      </w:r>
    </w:p>
  </w:endnote>
  <w:endnote w:type="continuationSeparator" w:id="0">
    <w:p w:rsidR="00F72E36" w:rsidRDefault="00F7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E4" w:rsidRDefault="000F1C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1CE4" w:rsidRDefault="000F1CE4">
    <w:pPr>
      <w:pStyle w:val="Rodap"/>
    </w:pPr>
  </w:p>
  <w:p w:rsidR="000F1CE4" w:rsidRDefault="000F1CE4"/>
  <w:p w:rsidR="000F1CE4" w:rsidRDefault="000F1C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54" w:rsidRPr="003F4F54" w:rsidRDefault="003F4F54">
    <w:pPr>
      <w:pStyle w:val="Rodap"/>
      <w:jc w:val="right"/>
      <w:rPr>
        <w:b/>
        <w:sz w:val="20"/>
      </w:rPr>
    </w:pPr>
    <w:r w:rsidRPr="003F4F54">
      <w:rPr>
        <w:b/>
        <w:sz w:val="20"/>
      </w:rPr>
      <w:fldChar w:fldCharType="begin"/>
    </w:r>
    <w:r w:rsidRPr="003F4F54">
      <w:rPr>
        <w:b/>
        <w:sz w:val="20"/>
      </w:rPr>
      <w:instrText>PAGE   \* MERGEFORMAT</w:instrText>
    </w:r>
    <w:r w:rsidRPr="003F4F54">
      <w:rPr>
        <w:b/>
        <w:sz w:val="20"/>
      </w:rPr>
      <w:fldChar w:fldCharType="separate"/>
    </w:r>
    <w:r w:rsidR="003812CC">
      <w:rPr>
        <w:b/>
        <w:noProof/>
        <w:sz w:val="20"/>
      </w:rPr>
      <w:t>1</w:t>
    </w:r>
    <w:r w:rsidRPr="003F4F54">
      <w:rPr>
        <w:b/>
        <w:sz w:val="20"/>
      </w:rPr>
      <w:fldChar w:fldCharType="end"/>
    </w:r>
  </w:p>
  <w:p w:rsidR="00D645B2" w:rsidRPr="003F4F54" w:rsidRDefault="00D645B2" w:rsidP="003F4F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36" w:rsidRDefault="00F72E36">
      <w:r>
        <w:separator/>
      </w:r>
    </w:p>
  </w:footnote>
  <w:footnote w:type="continuationSeparator" w:id="0">
    <w:p w:rsidR="00F72E36" w:rsidRDefault="00F72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B2" w:rsidRPr="00B657F2" w:rsidRDefault="000F1CE4" w:rsidP="00B657F2">
    <w:pPr>
      <w:framePr w:w="6498" w:h="573" w:hSpace="142" w:wrap="notBeside" w:vAnchor="page" w:hAnchor="page" w:x="3082" w:y="1247"/>
      <w:spacing w:after="120"/>
      <w:rPr>
        <w:rFonts w:ascii="Cambria" w:hAnsi="Cambria"/>
        <w:b/>
        <w:sz w:val="32"/>
      </w:rPr>
    </w:pPr>
    <w:r w:rsidRPr="000F1CE4">
      <w:rPr>
        <w:rFonts w:ascii="Cambria" w:hAnsi="Cambria"/>
        <w:b/>
        <w:sz w:val="28"/>
      </w:rPr>
      <w:t xml:space="preserve">CÂMARA DOS DEPUTADOS </w:t>
    </w:r>
  </w:p>
  <w:p w:rsidR="000F1CE4" w:rsidRPr="000F1CE4" w:rsidRDefault="000F1CE4" w:rsidP="00D645B2">
    <w:pPr>
      <w:framePr w:w="6498" w:h="573" w:hSpace="142" w:wrap="notBeside" w:vAnchor="page" w:hAnchor="page" w:x="3082" w:y="1247"/>
      <w:rPr>
        <w:rFonts w:ascii="Cambria" w:hAnsi="Cambria"/>
        <w:b/>
      </w:rPr>
    </w:pPr>
    <w:r w:rsidRPr="000F1CE4">
      <w:rPr>
        <w:rFonts w:ascii="Cambria" w:hAnsi="Cambria"/>
        <w:b/>
      </w:rPr>
      <w:t>Consultoria de Orçamento e Fiscalização Financeira</w:t>
    </w:r>
  </w:p>
  <w:bookmarkStart w:id="1" w:name="_MON_1520263158"/>
  <w:bookmarkEnd w:id="1"/>
  <w:p w:rsidR="00D645B2" w:rsidRDefault="003721C3" w:rsidP="001E0BB2">
    <w:pPr>
      <w:tabs>
        <w:tab w:val="left" w:pos="1174"/>
      </w:tabs>
      <w:spacing w:after="240"/>
      <w:jc w:val="both"/>
    </w:pPr>
    <w:r>
      <w:object w:dxaOrig="140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76.5pt" o:ole="" fillcolor="window">
          <v:imagedata r:id="rId1" o:title=""/>
        </v:shape>
        <o:OLEObject Type="Embed" ProgID="Word.Picture.8" ShapeID="_x0000_i1025" DrawAspect="Content" ObjectID="_16272133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CC9"/>
    <w:multiLevelType w:val="hybridMultilevel"/>
    <w:tmpl w:val="FC4C75A6"/>
    <w:lvl w:ilvl="0" w:tplc="711A56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415D9E"/>
    <w:multiLevelType w:val="hybridMultilevel"/>
    <w:tmpl w:val="FABEE644"/>
    <w:lvl w:ilvl="0" w:tplc="C2F028D6">
      <w:start w:val="1"/>
      <w:numFmt w:val="lowerRoman"/>
      <w:lvlText w:val="%1."/>
      <w:lvlJc w:val="left"/>
      <w:pPr>
        <w:ind w:left="1713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F15122"/>
    <w:multiLevelType w:val="singleLevel"/>
    <w:tmpl w:val="4074EE29"/>
    <w:lvl w:ilvl="0">
      <w:start w:val="6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3">
    <w:nsid w:val="27964F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6F694E"/>
    <w:multiLevelType w:val="hybridMultilevel"/>
    <w:tmpl w:val="27E833CA"/>
    <w:lvl w:ilvl="0" w:tplc="0E30A8C6">
      <w:start w:val="1"/>
      <w:numFmt w:val="lowerRoman"/>
      <w:lvlText w:val="%1."/>
      <w:lvlJc w:val="left"/>
      <w:pPr>
        <w:ind w:left="1080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B2D"/>
    <w:multiLevelType w:val="hybridMultilevel"/>
    <w:tmpl w:val="C32A9F24"/>
    <w:lvl w:ilvl="0" w:tplc="069E41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979AC00"/>
    <w:multiLevelType w:val="singleLevel"/>
    <w:tmpl w:val="7C7AB646"/>
    <w:lvl w:ilvl="0">
      <w:start w:val="1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7">
    <w:nsid w:val="49DA00E5"/>
    <w:multiLevelType w:val="hybridMultilevel"/>
    <w:tmpl w:val="DBA274C0"/>
    <w:lvl w:ilvl="0" w:tplc="D8EC82D0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528F78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C022BA"/>
    <w:multiLevelType w:val="singleLevel"/>
    <w:tmpl w:val="F85A3AC6"/>
    <w:lvl w:ilvl="0">
      <w:start w:val="2"/>
      <w:numFmt w:val="upperRoman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0">
    <w:nsid w:val="5D9018E9"/>
    <w:multiLevelType w:val="hybridMultilevel"/>
    <w:tmpl w:val="50C40782"/>
    <w:lvl w:ilvl="0" w:tplc="FC642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83201"/>
    <w:multiLevelType w:val="hybridMultilevel"/>
    <w:tmpl w:val="0CBCD5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C3"/>
    <w:rsid w:val="00000A03"/>
    <w:rsid w:val="00004ED6"/>
    <w:rsid w:val="00020877"/>
    <w:rsid w:val="000211FB"/>
    <w:rsid w:val="00021A4D"/>
    <w:rsid w:val="00024EA9"/>
    <w:rsid w:val="000324EC"/>
    <w:rsid w:val="00051742"/>
    <w:rsid w:val="000627C0"/>
    <w:rsid w:val="0006363E"/>
    <w:rsid w:val="00067DEE"/>
    <w:rsid w:val="00082C1E"/>
    <w:rsid w:val="000A31C8"/>
    <w:rsid w:val="000A4A09"/>
    <w:rsid w:val="000C6B48"/>
    <w:rsid w:val="000D1C6A"/>
    <w:rsid w:val="000E1ACB"/>
    <w:rsid w:val="000E2C80"/>
    <w:rsid w:val="000F1CE4"/>
    <w:rsid w:val="001060AC"/>
    <w:rsid w:val="0011333D"/>
    <w:rsid w:val="001223FA"/>
    <w:rsid w:val="00123843"/>
    <w:rsid w:val="00127B0B"/>
    <w:rsid w:val="00132033"/>
    <w:rsid w:val="001332FA"/>
    <w:rsid w:val="0014573B"/>
    <w:rsid w:val="001534B9"/>
    <w:rsid w:val="001557A2"/>
    <w:rsid w:val="00193DA1"/>
    <w:rsid w:val="00196B50"/>
    <w:rsid w:val="001B0868"/>
    <w:rsid w:val="001B1756"/>
    <w:rsid w:val="001B4689"/>
    <w:rsid w:val="001C0878"/>
    <w:rsid w:val="001C64E9"/>
    <w:rsid w:val="001E0BB2"/>
    <w:rsid w:val="001E34C6"/>
    <w:rsid w:val="001F0E45"/>
    <w:rsid w:val="001F36C0"/>
    <w:rsid w:val="00202EB1"/>
    <w:rsid w:val="00207A13"/>
    <w:rsid w:val="00210826"/>
    <w:rsid w:val="00212DAA"/>
    <w:rsid w:val="0021650B"/>
    <w:rsid w:val="0022299C"/>
    <w:rsid w:val="00244ED1"/>
    <w:rsid w:val="002521B5"/>
    <w:rsid w:val="002642C3"/>
    <w:rsid w:val="00267921"/>
    <w:rsid w:val="00270F96"/>
    <w:rsid w:val="00271B93"/>
    <w:rsid w:val="00273029"/>
    <w:rsid w:val="00275F8B"/>
    <w:rsid w:val="00280090"/>
    <w:rsid w:val="0028343E"/>
    <w:rsid w:val="002A1F3F"/>
    <w:rsid w:val="002A26C4"/>
    <w:rsid w:val="002A514C"/>
    <w:rsid w:val="002A5685"/>
    <w:rsid w:val="002A743E"/>
    <w:rsid w:val="002B25F5"/>
    <w:rsid w:val="002B4C9D"/>
    <w:rsid w:val="002C6327"/>
    <w:rsid w:val="002D17C4"/>
    <w:rsid w:val="002D37E9"/>
    <w:rsid w:val="002D6916"/>
    <w:rsid w:val="002D6B4F"/>
    <w:rsid w:val="002F3162"/>
    <w:rsid w:val="002F41D5"/>
    <w:rsid w:val="00301B67"/>
    <w:rsid w:val="003062EE"/>
    <w:rsid w:val="00311157"/>
    <w:rsid w:val="003156FB"/>
    <w:rsid w:val="00321BC0"/>
    <w:rsid w:val="00322876"/>
    <w:rsid w:val="00326B28"/>
    <w:rsid w:val="0033478E"/>
    <w:rsid w:val="00337B48"/>
    <w:rsid w:val="00337F37"/>
    <w:rsid w:val="00343912"/>
    <w:rsid w:val="00346743"/>
    <w:rsid w:val="00353206"/>
    <w:rsid w:val="00361D53"/>
    <w:rsid w:val="00363800"/>
    <w:rsid w:val="003721C3"/>
    <w:rsid w:val="00372BD1"/>
    <w:rsid w:val="0037427F"/>
    <w:rsid w:val="00375057"/>
    <w:rsid w:val="0037591F"/>
    <w:rsid w:val="00380075"/>
    <w:rsid w:val="003812CC"/>
    <w:rsid w:val="00392EC9"/>
    <w:rsid w:val="003B5976"/>
    <w:rsid w:val="003B5E74"/>
    <w:rsid w:val="003C7FEA"/>
    <w:rsid w:val="003D10BE"/>
    <w:rsid w:val="003E5C5B"/>
    <w:rsid w:val="003F2DBB"/>
    <w:rsid w:val="003F4F54"/>
    <w:rsid w:val="0040115A"/>
    <w:rsid w:val="00402DBC"/>
    <w:rsid w:val="00407B83"/>
    <w:rsid w:val="004156D3"/>
    <w:rsid w:val="00417229"/>
    <w:rsid w:val="00417931"/>
    <w:rsid w:val="0042173A"/>
    <w:rsid w:val="00431980"/>
    <w:rsid w:val="0043485D"/>
    <w:rsid w:val="00447F4A"/>
    <w:rsid w:val="00474055"/>
    <w:rsid w:val="004858ED"/>
    <w:rsid w:val="004B12FE"/>
    <w:rsid w:val="004B1929"/>
    <w:rsid w:val="004C3E47"/>
    <w:rsid w:val="004E2E09"/>
    <w:rsid w:val="00502F7B"/>
    <w:rsid w:val="00504E9A"/>
    <w:rsid w:val="00505109"/>
    <w:rsid w:val="0051136F"/>
    <w:rsid w:val="00523408"/>
    <w:rsid w:val="0054496C"/>
    <w:rsid w:val="0055119E"/>
    <w:rsid w:val="00556B5E"/>
    <w:rsid w:val="005609DB"/>
    <w:rsid w:val="0056612E"/>
    <w:rsid w:val="00575F5F"/>
    <w:rsid w:val="00586EC9"/>
    <w:rsid w:val="0058797C"/>
    <w:rsid w:val="00587F25"/>
    <w:rsid w:val="005A69FB"/>
    <w:rsid w:val="005B710D"/>
    <w:rsid w:val="005C19ED"/>
    <w:rsid w:val="005C4F07"/>
    <w:rsid w:val="005D5513"/>
    <w:rsid w:val="005D6D9E"/>
    <w:rsid w:val="005E3B58"/>
    <w:rsid w:val="005E4A5A"/>
    <w:rsid w:val="005F1633"/>
    <w:rsid w:val="005F2446"/>
    <w:rsid w:val="005F3A54"/>
    <w:rsid w:val="005F5FFA"/>
    <w:rsid w:val="006054F0"/>
    <w:rsid w:val="00614349"/>
    <w:rsid w:val="006218EB"/>
    <w:rsid w:val="00622849"/>
    <w:rsid w:val="00632C0F"/>
    <w:rsid w:val="00637DA8"/>
    <w:rsid w:val="00642A40"/>
    <w:rsid w:val="0064306E"/>
    <w:rsid w:val="00644E8B"/>
    <w:rsid w:val="00661DA6"/>
    <w:rsid w:val="00674B4A"/>
    <w:rsid w:val="00677C59"/>
    <w:rsid w:val="0068460D"/>
    <w:rsid w:val="006B17B0"/>
    <w:rsid w:val="006B5FE0"/>
    <w:rsid w:val="006B6D30"/>
    <w:rsid w:val="006C676C"/>
    <w:rsid w:val="006D33E7"/>
    <w:rsid w:val="006E474C"/>
    <w:rsid w:val="006E75FA"/>
    <w:rsid w:val="006F3D3E"/>
    <w:rsid w:val="006F6FAA"/>
    <w:rsid w:val="007057A5"/>
    <w:rsid w:val="00710E3C"/>
    <w:rsid w:val="00735467"/>
    <w:rsid w:val="00752605"/>
    <w:rsid w:val="0075419E"/>
    <w:rsid w:val="00754F8E"/>
    <w:rsid w:val="0075775D"/>
    <w:rsid w:val="007625A5"/>
    <w:rsid w:val="007774AB"/>
    <w:rsid w:val="007869A3"/>
    <w:rsid w:val="007A0C41"/>
    <w:rsid w:val="007B34CC"/>
    <w:rsid w:val="007B4496"/>
    <w:rsid w:val="007C2862"/>
    <w:rsid w:val="007D55C7"/>
    <w:rsid w:val="007E4064"/>
    <w:rsid w:val="007E6F12"/>
    <w:rsid w:val="007F5FCC"/>
    <w:rsid w:val="007F6A45"/>
    <w:rsid w:val="007F6F41"/>
    <w:rsid w:val="00800A51"/>
    <w:rsid w:val="00810CC5"/>
    <w:rsid w:val="00816EFD"/>
    <w:rsid w:val="00822BCD"/>
    <w:rsid w:val="00845630"/>
    <w:rsid w:val="00864F83"/>
    <w:rsid w:val="008650D2"/>
    <w:rsid w:val="008652E0"/>
    <w:rsid w:val="00866C74"/>
    <w:rsid w:val="0087042A"/>
    <w:rsid w:val="00874023"/>
    <w:rsid w:val="008820C0"/>
    <w:rsid w:val="0088476D"/>
    <w:rsid w:val="00884C4C"/>
    <w:rsid w:val="0089023C"/>
    <w:rsid w:val="00891583"/>
    <w:rsid w:val="008A0C02"/>
    <w:rsid w:val="008A50E4"/>
    <w:rsid w:val="008C03FE"/>
    <w:rsid w:val="008C2964"/>
    <w:rsid w:val="008C4BF2"/>
    <w:rsid w:val="008D0859"/>
    <w:rsid w:val="008D2FB5"/>
    <w:rsid w:val="008F04D4"/>
    <w:rsid w:val="00902C50"/>
    <w:rsid w:val="00903299"/>
    <w:rsid w:val="00903C7D"/>
    <w:rsid w:val="0091284D"/>
    <w:rsid w:val="00922919"/>
    <w:rsid w:val="00922933"/>
    <w:rsid w:val="009419AD"/>
    <w:rsid w:val="00943ADA"/>
    <w:rsid w:val="0094751C"/>
    <w:rsid w:val="00960FF3"/>
    <w:rsid w:val="00966FBB"/>
    <w:rsid w:val="00976B90"/>
    <w:rsid w:val="00986C06"/>
    <w:rsid w:val="009921BF"/>
    <w:rsid w:val="00996417"/>
    <w:rsid w:val="009A0225"/>
    <w:rsid w:val="009A32B7"/>
    <w:rsid w:val="009A38C7"/>
    <w:rsid w:val="009A4581"/>
    <w:rsid w:val="009B0039"/>
    <w:rsid w:val="009B2657"/>
    <w:rsid w:val="009B7DBF"/>
    <w:rsid w:val="009C44D3"/>
    <w:rsid w:val="009E0A71"/>
    <w:rsid w:val="009E0AD4"/>
    <w:rsid w:val="009E1592"/>
    <w:rsid w:val="009E4BC9"/>
    <w:rsid w:val="009F41B6"/>
    <w:rsid w:val="009F4D46"/>
    <w:rsid w:val="00A009BA"/>
    <w:rsid w:val="00A02642"/>
    <w:rsid w:val="00A15FA5"/>
    <w:rsid w:val="00A24AE9"/>
    <w:rsid w:val="00A26355"/>
    <w:rsid w:val="00A37CBB"/>
    <w:rsid w:val="00A37E7A"/>
    <w:rsid w:val="00A441E9"/>
    <w:rsid w:val="00A4503A"/>
    <w:rsid w:val="00A5335E"/>
    <w:rsid w:val="00A70070"/>
    <w:rsid w:val="00A71A61"/>
    <w:rsid w:val="00A84C67"/>
    <w:rsid w:val="00A91D91"/>
    <w:rsid w:val="00A9418A"/>
    <w:rsid w:val="00A978DD"/>
    <w:rsid w:val="00A97E9E"/>
    <w:rsid w:val="00AA33EA"/>
    <w:rsid w:val="00AB2802"/>
    <w:rsid w:val="00AB3B9A"/>
    <w:rsid w:val="00AC486B"/>
    <w:rsid w:val="00AE5E75"/>
    <w:rsid w:val="00AF3DB5"/>
    <w:rsid w:val="00B05603"/>
    <w:rsid w:val="00B06100"/>
    <w:rsid w:val="00B112A5"/>
    <w:rsid w:val="00B15220"/>
    <w:rsid w:val="00B34177"/>
    <w:rsid w:val="00B349F3"/>
    <w:rsid w:val="00B36A89"/>
    <w:rsid w:val="00B375B4"/>
    <w:rsid w:val="00B40E99"/>
    <w:rsid w:val="00B41110"/>
    <w:rsid w:val="00B47075"/>
    <w:rsid w:val="00B55392"/>
    <w:rsid w:val="00B6088F"/>
    <w:rsid w:val="00B62AC7"/>
    <w:rsid w:val="00B657F2"/>
    <w:rsid w:val="00B90F34"/>
    <w:rsid w:val="00B96C8F"/>
    <w:rsid w:val="00B9764D"/>
    <w:rsid w:val="00BA25F8"/>
    <w:rsid w:val="00BA5735"/>
    <w:rsid w:val="00BA6636"/>
    <w:rsid w:val="00BA724D"/>
    <w:rsid w:val="00BB1C9D"/>
    <w:rsid w:val="00BB34B8"/>
    <w:rsid w:val="00BB4792"/>
    <w:rsid w:val="00BC0057"/>
    <w:rsid w:val="00BC1DA5"/>
    <w:rsid w:val="00BC2729"/>
    <w:rsid w:val="00BD6DBC"/>
    <w:rsid w:val="00BE2470"/>
    <w:rsid w:val="00BE4E0E"/>
    <w:rsid w:val="00BE5AE0"/>
    <w:rsid w:val="00C040D7"/>
    <w:rsid w:val="00C050E8"/>
    <w:rsid w:val="00C17CEE"/>
    <w:rsid w:val="00C4770E"/>
    <w:rsid w:val="00C505AF"/>
    <w:rsid w:val="00C51AB5"/>
    <w:rsid w:val="00C639EC"/>
    <w:rsid w:val="00C745D2"/>
    <w:rsid w:val="00CB4E49"/>
    <w:rsid w:val="00CC2166"/>
    <w:rsid w:val="00CC5DA9"/>
    <w:rsid w:val="00CD432D"/>
    <w:rsid w:val="00CD47BC"/>
    <w:rsid w:val="00CE0EC7"/>
    <w:rsid w:val="00CF166F"/>
    <w:rsid w:val="00D03D11"/>
    <w:rsid w:val="00D05969"/>
    <w:rsid w:val="00D12ECE"/>
    <w:rsid w:val="00D459C1"/>
    <w:rsid w:val="00D47707"/>
    <w:rsid w:val="00D50E8B"/>
    <w:rsid w:val="00D51323"/>
    <w:rsid w:val="00D51CA9"/>
    <w:rsid w:val="00D5644D"/>
    <w:rsid w:val="00D613CA"/>
    <w:rsid w:val="00D645B2"/>
    <w:rsid w:val="00D65241"/>
    <w:rsid w:val="00D845BD"/>
    <w:rsid w:val="00D85DB2"/>
    <w:rsid w:val="00D872BB"/>
    <w:rsid w:val="00D93E2C"/>
    <w:rsid w:val="00D95DC3"/>
    <w:rsid w:val="00DA37E3"/>
    <w:rsid w:val="00DA43ED"/>
    <w:rsid w:val="00DA5F61"/>
    <w:rsid w:val="00DB21DD"/>
    <w:rsid w:val="00DB534A"/>
    <w:rsid w:val="00DB5BB6"/>
    <w:rsid w:val="00DC67ED"/>
    <w:rsid w:val="00DD41CB"/>
    <w:rsid w:val="00DD5DFB"/>
    <w:rsid w:val="00DE062F"/>
    <w:rsid w:val="00DE171C"/>
    <w:rsid w:val="00DE75EA"/>
    <w:rsid w:val="00DF2B11"/>
    <w:rsid w:val="00E0303C"/>
    <w:rsid w:val="00E102AA"/>
    <w:rsid w:val="00E16AEC"/>
    <w:rsid w:val="00E2711D"/>
    <w:rsid w:val="00E276C7"/>
    <w:rsid w:val="00E33F3B"/>
    <w:rsid w:val="00E43C34"/>
    <w:rsid w:val="00E659AC"/>
    <w:rsid w:val="00E66BD4"/>
    <w:rsid w:val="00E7755D"/>
    <w:rsid w:val="00E81AE9"/>
    <w:rsid w:val="00E86521"/>
    <w:rsid w:val="00E86F43"/>
    <w:rsid w:val="00E87A96"/>
    <w:rsid w:val="00E87C03"/>
    <w:rsid w:val="00E90747"/>
    <w:rsid w:val="00E92C03"/>
    <w:rsid w:val="00E94336"/>
    <w:rsid w:val="00E94E04"/>
    <w:rsid w:val="00EA02B2"/>
    <w:rsid w:val="00EA1D0D"/>
    <w:rsid w:val="00EA445C"/>
    <w:rsid w:val="00EB317A"/>
    <w:rsid w:val="00EB6A7F"/>
    <w:rsid w:val="00EC31CB"/>
    <w:rsid w:val="00ED385E"/>
    <w:rsid w:val="00ED5E92"/>
    <w:rsid w:val="00ED61F3"/>
    <w:rsid w:val="00EE478A"/>
    <w:rsid w:val="00EF2AA2"/>
    <w:rsid w:val="00F1096C"/>
    <w:rsid w:val="00F12E45"/>
    <w:rsid w:val="00F16194"/>
    <w:rsid w:val="00F2048F"/>
    <w:rsid w:val="00F30079"/>
    <w:rsid w:val="00F307D4"/>
    <w:rsid w:val="00F32099"/>
    <w:rsid w:val="00F3452C"/>
    <w:rsid w:val="00F41245"/>
    <w:rsid w:val="00F52B42"/>
    <w:rsid w:val="00F542A4"/>
    <w:rsid w:val="00F54544"/>
    <w:rsid w:val="00F64426"/>
    <w:rsid w:val="00F669F1"/>
    <w:rsid w:val="00F67C09"/>
    <w:rsid w:val="00F70435"/>
    <w:rsid w:val="00F719ED"/>
    <w:rsid w:val="00F72E36"/>
    <w:rsid w:val="00F812F1"/>
    <w:rsid w:val="00F83634"/>
    <w:rsid w:val="00F85D9F"/>
    <w:rsid w:val="00FA55A6"/>
    <w:rsid w:val="00FB4A37"/>
    <w:rsid w:val="00FB6915"/>
    <w:rsid w:val="00FC744E"/>
    <w:rsid w:val="00FE3149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nof@camara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31F78D3-D1C7-4759-B317-EE8EEE67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4675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mailto:conof@camara.gov.br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P_4242</dc:creator>
  <cp:lastModifiedBy>Fidelis Antonio Fantin Junior</cp:lastModifiedBy>
  <cp:revision>3</cp:revision>
  <cp:lastPrinted>2018-04-16T13:56:00Z</cp:lastPrinted>
  <dcterms:created xsi:type="dcterms:W3CDTF">2019-08-13T17:43:00Z</dcterms:created>
  <dcterms:modified xsi:type="dcterms:W3CDTF">2019-08-13T17:55:00Z</dcterms:modified>
</cp:coreProperties>
</file>