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51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160"/>
        <w:gridCol w:w="2699"/>
        <w:gridCol w:w="826"/>
        <w:gridCol w:w="4111"/>
      </w:tblGrid>
      <w:tr w:rsidR="00B55392" w:rsidTr="00DB534A">
        <w:trPr>
          <w:cantSplit/>
          <w:trHeight w:val="1365"/>
        </w:trPr>
        <w:tc>
          <w:tcPr>
            <w:tcW w:w="2055" w:type="dxa"/>
          </w:tcPr>
          <w:p w:rsidR="00B55392" w:rsidRDefault="0042173A" w:rsidP="00207A13">
            <w:bookmarkStart w:id="0" w:name="_GoBack"/>
            <w:bookmarkEnd w:id="0"/>
            <w:r>
              <w:rPr>
                <w:noProof/>
              </w:rPr>
              <w:drawing>
                <wp:inline distT="0" distB="0" distL="0" distR="0">
                  <wp:extent cx="1224280" cy="1049655"/>
                  <wp:effectExtent l="0" t="0" r="0" b="0"/>
                  <wp:docPr id="1" name="Imagem 1" descr="logo conof_sem títul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1" descr="logo conof_sem títul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24280" cy="10496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60" w:type="dxa"/>
          </w:tcPr>
          <w:p w:rsidR="00B55392" w:rsidRDefault="00B55392" w:rsidP="00207A13"/>
        </w:tc>
        <w:tc>
          <w:tcPr>
            <w:tcW w:w="7636" w:type="dxa"/>
            <w:gridSpan w:val="3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B55392" w:rsidRDefault="00B55392" w:rsidP="00207A13">
            <w:pPr>
              <w:ind w:right="-70"/>
              <w:rPr>
                <w:rFonts w:ascii="Cambria" w:hAnsi="Cambria"/>
                <w:b/>
                <w:color w:val="008080"/>
                <w:sz w:val="30"/>
                <w:szCs w:val="30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CÂMARA DOS DEPUTADOS</w:t>
            </w:r>
          </w:p>
          <w:p w:rsidR="00B55392" w:rsidRPr="009E427B" w:rsidRDefault="00B55392" w:rsidP="00207A13">
            <w:pPr>
              <w:ind w:right="-70"/>
              <w:rPr>
                <w:rFonts w:ascii="Garamond" w:hAnsi="Garamond"/>
                <w:b/>
                <w:sz w:val="32"/>
                <w:szCs w:val="32"/>
              </w:rPr>
            </w:pPr>
            <w:r w:rsidRPr="00B55392">
              <w:rPr>
                <w:rFonts w:ascii="Cambria" w:hAnsi="Cambria"/>
                <w:b/>
                <w:color w:val="008080"/>
                <w:sz w:val="30"/>
                <w:szCs w:val="30"/>
              </w:rPr>
              <w:t>Consultoria de Orçamento e Fiscalização Financeira</w:t>
            </w:r>
          </w:p>
        </w:tc>
      </w:tr>
      <w:tr w:rsidR="0042173A" w:rsidRPr="0042173A" w:rsidTr="007D55C7">
        <w:trPr>
          <w:cantSplit/>
          <w:trHeight w:val="7900"/>
        </w:trPr>
        <w:tc>
          <w:tcPr>
            <w:tcW w:w="9851" w:type="dxa"/>
            <w:gridSpan w:val="5"/>
            <w:textDirection w:val="btLr"/>
            <w:vAlign w:val="bottom"/>
          </w:tcPr>
          <w:p w:rsidR="00B55392" w:rsidRPr="0042173A" w:rsidRDefault="000324EC" w:rsidP="00217CCC">
            <w:pPr>
              <w:spacing w:after="200" w:line="276" w:lineRule="auto"/>
              <w:ind w:left="113" w:right="113"/>
              <w:jc w:val="center"/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</w:pPr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Nota</w:t>
            </w:r>
            <w:r w:rsidR="00B55392"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Técnic</w:t>
            </w:r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a</w:t>
            </w:r>
            <w:r w:rsidR="00B55392"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 n.º </w:t>
            </w:r>
            <w:r w:rsidR="00217CCC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11, d</w:t>
            </w:r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 xml:space="preserve">e </w:t>
            </w:r>
            <w:proofErr w:type="gramStart"/>
            <w:r w:rsidRPr="0042173A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201</w:t>
            </w:r>
            <w:r w:rsidR="003E43BC">
              <w:rPr>
                <w:rFonts w:ascii="Calibri" w:eastAsia="Calibri" w:hAnsi="Calibri"/>
                <w:b/>
                <w:outline/>
                <w:color w:val="008080"/>
                <w:sz w:val="92"/>
                <w:szCs w:val="92"/>
                <w:lang w:eastAsia="en-US"/>
                <w14:shadow w14:blurRad="50800" w14:dist="38100" w14:dir="2700000" w14:sx="100000" w14:sy="100000" w14:kx="0" w14:ky="0" w14:algn="tl">
                  <w14:srgbClr w14:val="000000">
                    <w14:alpha w14:val="60000"/>
                  </w14:srgbClr>
                </w14:shadow>
                <w14:textOutline w14:w="9525" w14:cap="flat" w14:cmpd="sng" w14:algn="ctr">
                  <w14:solidFill>
                    <w14:srgbClr w14:val="008080"/>
                  </w14:solidFill>
                  <w14:prstDash w14:val="solid"/>
                  <w14:round/>
                </w14:textOutline>
                <w14:textFill>
                  <w14:noFill/>
                </w14:textFill>
              </w:rPr>
              <w:t>9</w:t>
            </w:r>
            <w:proofErr w:type="gramEnd"/>
          </w:p>
        </w:tc>
      </w:tr>
      <w:tr w:rsidR="00B55392" w:rsidRPr="00207A13" w:rsidTr="00DB534A">
        <w:trPr>
          <w:cantSplit/>
          <w:trHeight w:val="2196"/>
        </w:trPr>
        <w:tc>
          <w:tcPr>
            <w:tcW w:w="5740" w:type="dxa"/>
            <w:gridSpan w:val="4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B55392" w:rsidRPr="00207A13" w:rsidRDefault="00D03D11" w:rsidP="00217CCC">
            <w:pPr>
              <w:ind w:right="497"/>
              <w:rPr>
                <w:rFonts w:ascii="Calibri" w:hAnsi="Calibri" w:cs="Calibri"/>
                <w:b/>
                <w:i/>
                <w:color w:val="008080"/>
                <w:sz w:val="30"/>
                <w:szCs w:val="30"/>
              </w:rPr>
            </w:pP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Subsídios acerca da adequação orçamentária e financeira da Medida Provisória nº 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87</w:t>
            </w:r>
            <w:r w:rsidR="00217CC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6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, de 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1</w:t>
            </w:r>
            <w:r w:rsidR="00217CC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3</w:t>
            </w:r>
            <w:r w:rsidR="00B657F2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març</w:t>
            </w:r>
            <w:r w:rsidR="001B1756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o</w:t>
            </w:r>
            <w:r w:rsidRPr="00DB534A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 xml:space="preserve"> de 201</w:t>
            </w:r>
            <w:r w:rsidR="003E43BC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9</w:t>
            </w:r>
            <w:r w:rsidR="00424FD7">
              <w:rPr>
                <w:rFonts w:ascii="Calibri" w:hAnsi="Calibri" w:cs="Calibri"/>
                <w:b/>
                <w:i/>
                <w:color w:val="008080"/>
                <w:sz w:val="36"/>
                <w:szCs w:val="30"/>
              </w:rPr>
              <w:t>.</w:t>
            </w:r>
          </w:p>
        </w:tc>
        <w:tc>
          <w:tcPr>
            <w:tcW w:w="4111" w:type="dxa"/>
            <w:tcBorders>
              <w:top w:val="single" w:sz="18" w:space="0" w:color="008080"/>
              <w:bottom w:val="single" w:sz="18" w:space="0" w:color="008080"/>
            </w:tcBorders>
            <w:vAlign w:val="center"/>
          </w:tcPr>
          <w:p w:rsidR="00587F25" w:rsidRPr="00132033" w:rsidRDefault="00217CCC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 w:val="28"/>
                <w:szCs w:val="28"/>
              </w:rPr>
            </w:pPr>
            <w:r w:rsidRPr="00217CCC">
              <w:rPr>
                <w:rFonts w:ascii="Calibri" w:hAnsi="Calibri" w:cs="Calibri"/>
                <w:b/>
                <w:color w:val="008080"/>
                <w:sz w:val="28"/>
                <w:szCs w:val="28"/>
              </w:rPr>
              <w:t>Sidney José de Souza Júnior</w:t>
            </w:r>
          </w:p>
          <w:p w:rsidR="00B55392" w:rsidRPr="00132033" w:rsidRDefault="00B55392" w:rsidP="00587F25">
            <w:pPr>
              <w:ind w:left="214"/>
              <w:jc w:val="center"/>
              <w:rPr>
                <w:rFonts w:ascii="Calibri" w:hAnsi="Calibri" w:cs="Calibri"/>
                <w:b/>
                <w:color w:val="008080"/>
                <w:szCs w:val="24"/>
              </w:rPr>
            </w:pPr>
            <w:r w:rsidRPr="00132033">
              <w:rPr>
                <w:rFonts w:ascii="Calibri" w:hAnsi="Calibri" w:cs="Calibri"/>
                <w:b/>
                <w:color w:val="008080"/>
                <w:szCs w:val="24"/>
              </w:rPr>
              <w:t>Co</w:t>
            </w:r>
            <w:r w:rsidR="002521B5" w:rsidRPr="00132033">
              <w:rPr>
                <w:rFonts w:ascii="Calibri" w:hAnsi="Calibri" w:cs="Calibri"/>
                <w:b/>
                <w:color w:val="008080"/>
                <w:szCs w:val="24"/>
              </w:rPr>
              <w:t>nsultor de Orçamento</w:t>
            </w:r>
            <w:r w:rsidR="00587F25" w:rsidRPr="00132033">
              <w:rPr>
                <w:rFonts w:ascii="Calibri" w:hAnsi="Calibri" w:cs="Calibri"/>
                <w:b/>
                <w:color w:val="008080"/>
                <w:szCs w:val="24"/>
              </w:rPr>
              <w:t xml:space="preserve"> e Fiscalização Financeira</w:t>
            </w:r>
          </w:p>
        </w:tc>
      </w:tr>
      <w:tr w:rsidR="001E0BB2" w:rsidRPr="00207A13" w:rsidTr="00DB534A">
        <w:trPr>
          <w:cantSplit/>
          <w:trHeight w:val="546"/>
        </w:trPr>
        <w:tc>
          <w:tcPr>
            <w:tcW w:w="4914" w:type="dxa"/>
            <w:gridSpan w:val="3"/>
          </w:tcPr>
          <w:p w:rsidR="001E0BB2" w:rsidRPr="00207A13" w:rsidRDefault="001E0BB2" w:rsidP="001E0BB2">
            <w:pPr>
              <w:spacing w:after="120"/>
              <w:rPr>
                <w:rFonts w:ascii="Calibri" w:hAnsi="Calibri" w:cs="Calibri"/>
                <w:b/>
                <w:color w:val="008080"/>
              </w:rPr>
            </w:pPr>
            <w:r w:rsidRPr="00207A13">
              <w:rPr>
                <w:rFonts w:ascii="Calibri" w:hAnsi="Calibri" w:cs="Calibri"/>
                <w:b/>
                <w:color w:val="008080"/>
              </w:rPr>
              <w:t xml:space="preserve">Endereço na Internet: </w:t>
            </w:r>
            <w:r w:rsidRPr="001E0BB2">
              <w:rPr>
                <w:rFonts w:ascii="Calibri" w:hAnsi="Calibri" w:cs="Calibri"/>
                <w:b/>
                <w:color w:val="008080"/>
              </w:rPr>
              <w:t>http://www2.camara.leg.br/a-camara/estruturaadm/conof</w:t>
            </w:r>
          </w:p>
          <w:p w:rsidR="001E0BB2" w:rsidRPr="00207A13" w:rsidRDefault="001E0BB2" w:rsidP="001E0BB2">
            <w:pPr>
              <w:rPr>
                <w:rFonts w:ascii="Calibri" w:hAnsi="Calibri" w:cs="Calibri"/>
                <w:b/>
                <w:color w:val="008080"/>
              </w:rPr>
            </w:pPr>
            <w:proofErr w:type="gramStart"/>
            <w:r w:rsidRPr="00207A13">
              <w:rPr>
                <w:rFonts w:ascii="Calibri" w:hAnsi="Calibri" w:cs="Calibri"/>
                <w:b/>
                <w:color w:val="008080"/>
              </w:rPr>
              <w:t>e-mail</w:t>
            </w:r>
            <w:proofErr w:type="gramEnd"/>
            <w:r w:rsidRPr="00207A13">
              <w:rPr>
                <w:rFonts w:ascii="Calibri" w:hAnsi="Calibri" w:cs="Calibri"/>
                <w:b/>
                <w:color w:val="008080"/>
              </w:rPr>
              <w:t xml:space="preserve">: </w:t>
            </w:r>
            <w:hyperlink r:id="rId10" w:history="1">
              <w:r w:rsidRPr="00207A13">
                <w:rPr>
                  <w:rStyle w:val="Hyperlink"/>
                  <w:rFonts w:ascii="Calibri" w:hAnsi="Calibri" w:cs="Calibri"/>
                  <w:color w:val="008080"/>
                </w:rPr>
                <w:t>conof@camara.gov.br</w:t>
              </w:r>
            </w:hyperlink>
          </w:p>
        </w:tc>
        <w:tc>
          <w:tcPr>
            <w:tcW w:w="4937" w:type="dxa"/>
            <w:gridSpan w:val="2"/>
          </w:tcPr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1E0BB2" w:rsidP="00207A13">
            <w:pPr>
              <w:jc w:val="right"/>
              <w:rPr>
                <w:rFonts w:ascii="Calibri" w:hAnsi="Calibri" w:cs="Calibri"/>
                <w:b/>
                <w:color w:val="008080"/>
              </w:rPr>
            </w:pPr>
          </w:p>
          <w:p w:rsidR="001E0BB2" w:rsidRPr="00207A13" w:rsidRDefault="003E43BC" w:rsidP="0033478E">
            <w:pPr>
              <w:ind w:right="1206"/>
              <w:jc w:val="right"/>
              <w:rPr>
                <w:rFonts w:ascii="Calibri" w:hAnsi="Calibri" w:cs="Calibri"/>
                <w:b/>
                <w:color w:val="008080"/>
              </w:rPr>
            </w:pPr>
            <w:r>
              <w:rPr>
                <w:rFonts w:ascii="Calibri" w:hAnsi="Calibri" w:cs="Calibri"/>
                <w:b/>
                <w:color w:val="008080"/>
              </w:rPr>
              <w:t>Març</w:t>
            </w:r>
            <w:r w:rsidR="001B1756">
              <w:rPr>
                <w:rFonts w:ascii="Calibri" w:hAnsi="Calibri" w:cs="Calibri"/>
                <w:b/>
                <w:color w:val="008080"/>
              </w:rPr>
              <w:t>o</w:t>
            </w:r>
            <w:r w:rsidR="00B657F2">
              <w:rPr>
                <w:rFonts w:ascii="Calibri" w:hAnsi="Calibri" w:cs="Calibri"/>
                <w:b/>
                <w:color w:val="008080"/>
              </w:rPr>
              <w:t xml:space="preserve"> de 201</w:t>
            </w:r>
            <w:r>
              <w:rPr>
                <w:rFonts w:ascii="Calibri" w:hAnsi="Calibri" w:cs="Calibri"/>
                <w:b/>
                <w:color w:val="008080"/>
              </w:rPr>
              <w:t>9</w:t>
            </w:r>
          </w:p>
        </w:tc>
      </w:tr>
    </w:tbl>
    <w:p w:rsidR="001E0BB2" w:rsidRPr="00207A13" w:rsidRDefault="001E0BB2" w:rsidP="00B55392">
      <w:pPr>
        <w:ind w:right="-70"/>
        <w:jc w:val="both"/>
        <w:rPr>
          <w:rFonts w:ascii="Calibri" w:hAnsi="Calibri" w:cs="Calibri"/>
          <w:b/>
          <w:color w:val="008080"/>
        </w:rPr>
      </w:pPr>
    </w:p>
    <w:p w:rsidR="00EF2AA2" w:rsidRDefault="00B55392" w:rsidP="007D55C7">
      <w:pPr>
        <w:ind w:right="-70"/>
        <w:jc w:val="both"/>
        <w:rPr>
          <w:rFonts w:ascii="Times New Roman" w:hAnsi="Times New Roman"/>
          <w:b/>
          <w:sz w:val="28"/>
          <w:szCs w:val="28"/>
        </w:rPr>
      </w:pPr>
      <w:r w:rsidRPr="00207A13">
        <w:rPr>
          <w:rFonts w:ascii="Calibri" w:hAnsi="Calibri" w:cs="Calibri"/>
          <w:b/>
          <w:color w:val="008080"/>
        </w:rPr>
        <w:t>Este trabalho é de inteira responsabilidade de seu autor, não representando necessariamente a opinião da Câmara dos Deputados.</w:t>
      </w:r>
      <w:proofErr w:type="gramStart"/>
      <w:r w:rsidR="001E0BB2">
        <w:rPr>
          <w:rFonts w:ascii="Times New Roman" w:hAnsi="Times New Roman"/>
          <w:b/>
          <w:sz w:val="28"/>
          <w:szCs w:val="28"/>
        </w:rPr>
        <w:br w:type="page"/>
      </w:r>
      <w:proofErr w:type="gramEnd"/>
    </w:p>
    <w:p w:rsidR="00D51323" w:rsidRPr="004156D3" w:rsidRDefault="00D51323" w:rsidP="00B657F2">
      <w:pPr>
        <w:spacing w:line="300" w:lineRule="auto"/>
        <w:ind w:left="426"/>
        <w:jc w:val="center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lastRenderedPageBreak/>
        <w:t xml:space="preserve">NOTA TÉCNICA Nº </w:t>
      </w:r>
      <w:r w:rsidR="00217CCC">
        <w:rPr>
          <w:rFonts w:cs="Arial"/>
          <w:b/>
          <w:sz w:val="22"/>
          <w:szCs w:val="22"/>
        </w:rPr>
        <w:t>11</w:t>
      </w:r>
      <w:r w:rsidR="00B657F2" w:rsidRPr="004156D3">
        <w:rPr>
          <w:rFonts w:cs="Arial"/>
          <w:b/>
          <w:sz w:val="22"/>
          <w:szCs w:val="22"/>
        </w:rPr>
        <w:t xml:space="preserve">, de </w:t>
      </w:r>
      <w:proofErr w:type="gramStart"/>
      <w:r w:rsidR="00B657F2" w:rsidRPr="004156D3">
        <w:rPr>
          <w:rFonts w:cs="Arial"/>
          <w:b/>
          <w:sz w:val="22"/>
          <w:szCs w:val="22"/>
        </w:rPr>
        <w:t>201</w:t>
      </w:r>
      <w:r w:rsidR="00AE139A">
        <w:rPr>
          <w:rFonts w:cs="Arial"/>
          <w:b/>
          <w:sz w:val="22"/>
          <w:szCs w:val="22"/>
        </w:rPr>
        <w:t>9</w:t>
      </w:r>
      <w:proofErr w:type="gramEnd"/>
    </w:p>
    <w:p w:rsidR="00B657F2" w:rsidRPr="004156D3" w:rsidRDefault="00B657F2" w:rsidP="00B657F2">
      <w:pPr>
        <w:keepNext/>
        <w:ind w:left="426"/>
        <w:jc w:val="both"/>
        <w:outlineLvl w:val="0"/>
        <w:rPr>
          <w:rFonts w:cs="Arial"/>
          <w:b/>
          <w:sz w:val="22"/>
          <w:szCs w:val="22"/>
        </w:rPr>
      </w:pPr>
    </w:p>
    <w:p w:rsidR="00B657F2" w:rsidRPr="0064306E" w:rsidRDefault="00B657F2" w:rsidP="002A514C">
      <w:pPr>
        <w:keepNext/>
        <w:ind w:left="5387"/>
        <w:jc w:val="both"/>
        <w:outlineLvl w:val="0"/>
        <w:rPr>
          <w:rFonts w:cs="Arial"/>
          <w:b/>
          <w:sz w:val="22"/>
          <w:szCs w:val="22"/>
        </w:rPr>
      </w:pPr>
      <w:r w:rsidRPr="004156D3">
        <w:rPr>
          <w:rFonts w:cs="Arial"/>
          <w:b/>
          <w:sz w:val="22"/>
          <w:szCs w:val="22"/>
        </w:rPr>
        <w:t>Subsídios para a apreciação da</w:t>
      </w:r>
      <w:r w:rsidRPr="004156D3">
        <w:rPr>
          <w:rFonts w:cs="Arial"/>
          <w:sz w:val="22"/>
          <w:szCs w:val="22"/>
        </w:rPr>
        <w:t xml:space="preserve"> </w:t>
      </w:r>
      <w:r w:rsidR="00EA02B2" w:rsidRPr="004156D3">
        <w:rPr>
          <w:rFonts w:cs="Arial"/>
          <w:b/>
          <w:sz w:val="22"/>
          <w:szCs w:val="22"/>
        </w:rPr>
        <w:t>Medida Provisória n.</w:t>
      </w:r>
      <w:r w:rsidR="00EA02B2" w:rsidRPr="0064306E">
        <w:rPr>
          <w:rFonts w:cs="Arial"/>
          <w:b/>
          <w:sz w:val="22"/>
          <w:szCs w:val="22"/>
        </w:rPr>
        <w:t xml:space="preserve">º </w:t>
      </w:r>
      <w:r w:rsidR="0033478E" w:rsidRPr="0064306E">
        <w:rPr>
          <w:rFonts w:cs="Arial"/>
          <w:b/>
          <w:sz w:val="22"/>
          <w:szCs w:val="22"/>
        </w:rPr>
        <w:t>8</w:t>
      </w:r>
      <w:r w:rsidR="003E43BC">
        <w:rPr>
          <w:rFonts w:cs="Arial"/>
          <w:b/>
          <w:sz w:val="22"/>
          <w:szCs w:val="22"/>
        </w:rPr>
        <w:t>7</w:t>
      </w:r>
      <w:r w:rsidR="00217CCC">
        <w:rPr>
          <w:rFonts w:cs="Arial"/>
          <w:b/>
          <w:sz w:val="22"/>
          <w:szCs w:val="22"/>
        </w:rPr>
        <w:t>6</w:t>
      </w:r>
      <w:r w:rsidRPr="0064306E">
        <w:rPr>
          <w:rFonts w:cs="Arial"/>
          <w:b/>
          <w:sz w:val="22"/>
          <w:szCs w:val="22"/>
        </w:rPr>
        <w:t xml:space="preserve">, de </w:t>
      </w:r>
      <w:r w:rsidR="003E43BC">
        <w:rPr>
          <w:rFonts w:cs="Arial"/>
          <w:b/>
          <w:sz w:val="22"/>
          <w:szCs w:val="22"/>
        </w:rPr>
        <w:t>1</w:t>
      </w:r>
      <w:r w:rsidR="00217CCC">
        <w:rPr>
          <w:rFonts w:cs="Arial"/>
          <w:b/>
          <w:sz w:val="22"/>
          <w:szCs w:val="22"/>
        </w:rPr>
        <w:t>3</w:t>
      </w:r>
      <w:r w:rsidRPr="0064306E">
        <w:rPr>
          <w:rFonts w:cs="Arial"/>
          <w:b/>
          <w:sz w:val="22"/>
          <w:szCs w:val="22"/>
        </w:rPr>
        <w:t xml:space="preserve"> de </w:t>
      </w:r>
      <w:r w:rsidR="003E43BC">
        <w:rPr>
          <w:rFonts w:cs="Arial"/>
          <w:b/>
          <w:sz w:val="22"/>
          <w:szCs w:val="22"/>
        </w:rPr>
        <w:t>març</w:t>
      </w:r>
      <w:r w:rsidR="001B1756">
        <w:rPr>
          <w:rFonts w:cs="Arial"/>
          <w:b/>
          <w:sz w:val="22"/>
          <w:szCs w:val="22"/>
        </w:rPr>
        <w:t>o</w:t>
      </w:r>
      <w:r w:rsidRPr="0064306E">
        <w:rPr>
          <w:rFonts w:cs="Arial"/>
          <w:b/>
          <w:sz w:val="22"/>
          <w:szCs w:val="22"/>
        </w:rPr>
        <w:t xml:space="preserve"> de 201</w:t>
      </w:r>
      <w:r w:rsidR="003E43BC">
        <w:rPr>
          <w:rFonts w:cs="Arial"/>
          <w:b/>
          <w:sz w:val="22"/>
          <w:szCs w:val="22"/>
        </w:rPr>
        <w:t>9</w:t>
      </w:r>
      <w:r w:rsidRPr="0064306E">
        <w:rPr>
          <w:rFonts w:cs="Arial"/>
          <w:b/>
          <w:sz w:val="22"/>
          <w:szCs w:val="22"/>
        </w:rPr>
        <w:t>, quanto à adequação orçamentária e financeira.</w:t>
      </w:r>
    </w:p>
    <w:p w:rsidR="00B657F2" w:rsidRDefault="00B657F2" w:rsidP="00B657F2">
      <w:pPr>
        <w:ind w:left="426"/>
        <w:jc w:val="both"/>
        <w:rPr>
          <w:rFonts w:cs="Arial"/>
          <w:sz w:val="22"/>
          <w:szCs w:val="22"/>
        </w:rPr>
      </w:pPr>
    </w:p>
    <w:p w:rsidR="007D55C7" w:rsidRPr="0064306E" w:rsidRDefault="007D55C7" w:rsidP="00B657F2">
      <w:pPr>
        <w:ind w:left="426"/>
        <w:jc w:val="both"/>
        <w:rPr>
          <w:rFonts w:cs="Arial"/>
          <w:sz w:val="22"/>
          <w:szCs w:val="22"/>
        </w:rPr>
      </w:pPr>
    </w:p>
    <w:p w:rsidR="006C676C" w:rsidRDefault="006C676C" w:rsidP="00B657F2">
      <w:pPr>
        <w:ind w:left="426"/>
        <w:jc w:val="both"/>
        <w:rPr>
          <w:rFonts w:ascii="Times New Roman" w:hAnsi="Times New Roman"/>
        </w:rPr>
      </w:pPr>
    </w:p>
    <w:p w:rsidR="00EA02B2" w:rsidRDefault="00EA02B2" w:rsidP="0037591F">
      <w:pPr>
        <w:pStyle w:val="Corpodetexto"/>
        <w:spacing w:after="240"/>
        <w:jc w:val="left"/>
        <w:rPr>
          <w:rFonts w:cs="Arial"/>
          <w:color w:val="000000"/>
          <w:szCs w:val="24"/>
        </w:rPr>
      </w:pPr>
      <w:r w:rsidRPr="00EA02B2">
        <w:rPr>
          <w:rFonts w:cs="Arial"/>
          <w:color w:val="000000"/>
          <w:szCs w:val="24"/>
        </w:rPr>
        <w:t>I – INTRODUÇÃO</w:t>
      </w:r>
    </w:p>
    <w:p w:rsidR="00EA02B2" w:rsidRPr="001B1756" w:rsidRDefault="00EA02B2" w:rsidP="00217CCC">
      <w:pPr>
        <w:pStyle w:val="Corpodetexto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1B1756">
        <w:rPr>
          <w:rFonts w:cs="Arial"/>
          <w:b w:val="0"/>
          <w:color w:val="auto"/>
          <w:sz w:val="22"/>
          <w:szCs w:val="22"/>
        </w:rPr>
        <w:t xml:space="preserve">Nos termos do art. 62 da Constituição Federal, </w:t>
      </w:r>
      <w:r w:rsidR="009B7DBF" w:rsidRPr="001B1756">
        <w:rPr>
          <w:rFonts w:cs="Arial"/>
          <w:b w:val="0"/>
          <w:color w:val="auto"/>
          <w:sz w:val="22"/>
          <w:szCs w:val="22"/>
        </w:rPr>
        <w:t>o</w:t>
      </w:r>
      <w:r w:rsidRPr="001B1756">
        <w:rPr>
          <w:rFonts w:cs="Arial"/>
          <w:b w:val="0"/>
          <w:color w:val="auto"/>
          <w:sz w:val="22"/>
          <w:szCs w:val="22"/>
        </w:rPr>
        <w:t xml:space="preserve"> Presidente da República submete ao Congresso Nacional a Medida </w:t>
      </w:r>
      <w:r w:rsidR="00943ADA" w:rsidRPr="001B1756">
        <w:rPr>
          <w:rFonts w:cs="Arial"/>
          <w:b w:val="0"/>
          <w:color w:val="auto"/>
          <w:sz w:val="22"/>
          <w:szCs w:val="22"/>
        </w:rPr>
        <w:t xml:space="preserve">Provisória nº </w:t>
      </w:r>
      <w:r w:rsidR="0033478E" w:rsidRPr="001B1756">
        <w:rPr>
          <w:rFonts w:cs="Arial"/>
          <w:b w:val="0"/>
          <w:color w:val="auto"/>
          <w:sz w:val="22"/>
          <w:szCs w:val="22"/>
        </w:rPr>
        <w:t>8</w:t>
      </w:r>
      <w:r w:rsidR="001B1756" w:rsidRPr="001B1756">
        <w:rPr>
          <w:rFonts w:cs="Arial"/>
          <w:b w:val="0"/>
          <w:color w:val="auto"/>
          <w:sz w:val="22"/>
          <w:szCs w:val="22"/>
        </w:rPr>
        <w:t>7</w:t>
      </w:r>
      <w:r w:rsidR="00217CCC">
        <w:rPr>
          <w:rFonts w:cs="Arial"/>
          <w:b w:val="0"/>
          <w:color w:val="auto"/>
          <w:sz w:val="22"/>
          <w:szCs w:val="22"/>
        </w:rPr>
        <w:t>6</w:t>
      </w:r>
      <w:r w:rsidRPr="001B1756">
        <w:rPr>
          <w:rFonts w:cs="Arial"/>
          <w:b w:val="0"/>
          <w:color w:val="auto"/>
          <w:sz w:val="22"/>
          <w:szCs w:val="22"/>
        </w:rPr>
        <w:t xml:space="preserve">, de </w:t>
      </w:r>
      <w:r w:rsidR="00826672">
        <w:rPr>
          <w:rFonts w:cs="Arial"/>
          <w:b w:val="0"/>
          <w:color w:val="auto"/>
          <w:sz w:val="22"/>
          <w:szCs w:val="22"/>
        </w:rPr>
        <w:t>1</w:t>
      </w:r>
      <w:r w:rsidR="00217CCC">
        <w:rPr>
          <w:rFonts w:cs="Arial"/>
          <w:b w:val="0"/>
          <w:color w:val="auto"/>
          <w:sz w:val="22"/>
          <w:szCs w:val="22"/>
        </w:rPr>
        <w:t>3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</w:t>
      </w:r>
      <w:r w:rsidR="00826672">
        <w:rPr>
          <w:rFonts w:cs="Arial"/>
          <w:b w:val="0"/>
          <w:color w:val="auto"/>
          <w:sz w:val="22"/>
          <w:szCs w:val="22"/>
        </w:rPr>
        <w:t>març</w:t>
      </w:r>
      <w:r w:rsidR="001B1756" w:rsidRPr="001B1756">
        <w:rPr>
          <w:rFonts w:cs="Arial"/>
          <w:b w:val="0"/>
          <w:color w:val="auto"/>
          <w:sz w:val="22"/>
          <w:szCs w:val="22"/>
        </w:rPr>
        <w:t>o</w:t>
      </w:r>
      <w:r w:rsidRPr="001B1756">
        <w:rPr>
          <w:rFonts w:cs="Arial"/>
          <w:b w:val="0"/>
          <w:color w:val="auto"/>
          <w:sz w:val="22"/>
          <w:szCs w:val="22"/>
        </w:rPr>
        <w:t xml:space="preserve"> de 201</w:t>
      </w:r>
      <w:r w:rsidR="00826672">
        <w:rPr>
          <w:rFonts w:cs="Arial"/>
          <w:b w:val="0"/>
          <w:color w:val="auto"/>
          <w:sz w:val="22"/>
          <w:szCs w:val="22"/>
        </w:rPr>
        <w:t>9</w:t>
      </w:r>
      <w:r w:rsidRPr="001B1756">
        <w:rPr>
          <w:rFonts w:cs="Arial"/>
          <w:b w:val="0"/>
          <w:color w:val="auto"/>
          <w:sz w:val="22"/>
          <w:szCs w:val="22"/>
        </w:rPr>
        <w:t>, que “</w:t>
      </w:r>
      <w:r w:rsidR="00217CCC">
        <w:rPr>
          <w:rFonts w:cs="Arial"/>
          <w:b w:val="0"/>
          <w:color w:val="auto"/>
          <w:sz w:val="22"/>
          <w:szCs w:val="22"/>
        </w:rPr>
        <w:t xml:space="preserve">Dispõe sobre o </w:t>
      </w:r>
      <w:r w:rsidR="00217CCC" w:rsidRPr="00217CCC">
        <w:rPr>
          <w:rFonts w:cs="Arial"/>
          <w:b w:val="0"/>
          <w:color w:val="auto"/>
          <w:sz w:val="22"/>
          <w:szCs w:val="22"/>
        </w:rPr>
        <w:t>Registro Público de</w:t>
      </w:r>
      <w:r w:rsidR="00217CCC">
        <w:rPr>
          <w:rFonts w:cs="Arial"/>
          <w:b w:val="0"/>
          <w:color w:val="auto"/>
          <w:sz w:val="22"/>
          <w:szCs w:val="22"/>
        </w:rPr>
        <w:t xml:space="preserve"> </w:t>
      </w:r>
      <w:r w:rsidR="00217CCC" w:rsidRPr="00217CCC">
        <w:rPr>
          <w:rFonts w:cs="Arial"/>
          <w:b w:val="0"/>
          <w:color w:val="auto"/>
          <w:sz w:val="22"/>
          <w:szCs w:val="22"/>
        </w:rPr>
        <w:t>Empresas Mercantis e Atividades Afins</w:t>
      </w:r>
      <w:r w:rsidRPr="001B1756">
        <w:rPr>
          <w:rFonts w:cs="Arial"/>
          <w:b w:val="0"/>
          <w:color w:val="auto"/>
          <w:sz w:val="22"/>
          <w:szCs w:val="22"/>
        </w:rPr>
        <w:t>”</w:t>
      </w:r>
      <w:r w:rsidR="00356535">
        <w:rPr>
          <w:rFonts w:cs="Arial"/>
          <w:b w:val="0"/>
          <w:color w:val="auto"/>
          <w:sz w:val="22"/>
          <w:szCs w:val="22"/>
        </w:rPr>
        <w:t>.</w:t>
      </w:r>
    </w:p>
    <w:p w:rsidR="00EA02B2" w:rsidRPr="001B1756" w:rsidRDefault="00EA02B2" w:rsidP="00EA02B2">
      <w:pPr>
        <w:ind w:firstLine="1134"/>
        <w:jc w:val="both"/>
        <w:rPr>
          <w:rFonts w:cs="Arial"/>
          <w:sz w:val="22"/>
          <w:szCs w:val="22"/>
        </w:rPr>
      </w:pPr>
      <w:r w:rsidRPr="001B1756">
        <w:rPr>
          <w:rFonts w:cs="Arial"/>
          <w:sz w:val="22"/>
          <w:szCs w:val="22"/>
        </w:rPr>
        <w:t xml:space="preserve">A presente Nota Técnica atende à determinação do art.19 da Resolução n.º 1, de 2002, do Congresso Nacional, o qual estabelece: “O órgão de consultoria e assessoramento orçamentário da Casa a que pertencer o Relator de Medida Provisória encaminhará aos Relatores e à Comissão, no prazo de </w:t>
      </w:r>
      <w:proofErr w:type="gramStart"/>
      <w:r w:rsidRPr="001B1756">
        <w:rPr>
          <w:rFonts w:cs="Arial"/>
          <w:sz w:val="22"/>
          <w:szCs w:val="22"/>
        </w:rPr>
        <w:t>5</w:t>
      </w:r>
      <w:proofErr w:type="gramEnd"/>
      <w:r w:rsidRPr="001B1756">
        <w:rPr>
          <w:rFonts w:cs="Arial"/>
          <w:sz w:val="22"/>
          <w:szCs w:val="22"/>
        </w:rPr>
        <w:t xml:space="preserve"> (cinco) dias de sua publicação, nota técnica com subsídios acerca da adequação financeira e orçamentária de Medida Provisória”.</w:t>
      </w:r>
    </w:p>
    <w:p w:rsidR="00EF2AA2" w:rsidRPr="001B1756" w:rsidRDefault="00EF2AA2" w:rsidP="00EA02B2">
      <w:pPr>
        <w:ind w:firstLine="1134"/>
        <w:jc w:val="both"/>
        <w:rPr>
          <w:rFonts w:cs="Arial"/>
          <w:sz w:val="22"/>
          <w:szCs w:val="22"/>
        </w:rPr>
      </w:pPr>
    </w:p>
    <w:p w:rsidR="001332FA" w:rsidRPr="001B1756" w:rsidRDefault="001332FA" w:rsidP="00EA02B2">
      <w:pPr>
        <w:ind w:firstLine="1134"/>
        <w:jc w:val="both"/>
        <w:rPr>
          <w:rFonts w:cs="Arial"/>
          <w:sz w:val="22"/>
          <w:szCs w:val="22"/>
        </w:rPr>
      </w:pPr>
    </w:p>
    <w:p w:rsidR="00EA02B2" w:rsidRPr="001B1756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1B1756">
        <w:rPr>
          <w:rFonts w:cs="Arial"/>
          <w:color w:val="auto"/>
          <w:szCs w:val="24"/>
        </w:rPr>
        <w:t>II – SÍNTESE E ASPECTOS RELEVANTES</w:t>
      </w:r>
    </w:p>
    <w:p w:rsidR="00356535" w:rsidRPr="00356535" w:rsidRDefault="00EA02B2" w:rsidP="00356535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AF3DB5">
        <w:rPr>
          <w:rFonts w:cs="Arial"/>
          <w:b w:val="0"/>
          <w:color w:val="auto"/>
          <w:sz w:val="22"/>
          <w:szCs w:val="22"/>
        </w:rPr>
        <w:t xml:space="preserve">A Medida Provisória nº </w:t>
      </w:r>
      <w:r w:rsidR="001104C9">
        <w:rPr>
          <w:rFonts w:cs="Arial"/>
          <w:b w:val="0"/>
          <w:color w:val="auto"/>
          <w:sz w:val="22"/>
          <w:szCs w:val="22"/>
        </w:rPr>
        <w:t>8</w:t>
      </w:r>
      <w:r w:rsidR="001B1756" w:rsidRPr="00AF3DB5">
        <w:rPr>
          <w:rFonts w:cs="Arial"/>
          <w:b w:val="0"/>
          <w:color w:val="auto"/>
          <w:sz w:val="22"/>
          <w:szCs w:val="22"/>
        </w:rPr>
        <w:t>7</w:t>
      </w:r>
      <w:r w:rsidR="00356535">
        <w:rPr>
          <w:rFonts w:cs="Arial"/>
          <w:b w:val="0"/>
          <w:color w:val="auto"/>
          <w:sz w:val="22"/>
          <w:szCs w:val="22"/>
        </w:rPr>
        <w:t>6</w:t>
      </w:r>
      <w:r w:rsidRPr="00AF3DB5">
        <w:rPr>
          <w:rFonts w:cs="Arial"/>
          <w:b w:val="0"/>
          <w:color w:val="auto"/>
          <w:sz w:val="22"/>
          <w:szCs w:val="22"/>
        </w:rPr>
        <w:t>/20</w:t>
      </w:r>
      <w:r w:rsidR="00356535">
        <w:rPr>
          <w:rFonts w:cs="Arial"/>
          <w:b w:val="0"/>
          <w:color w:val="auto"/>
          <w:sz w:val="22"/>
          <w:szCs w:val="22"/>
        </w:rPr>
        <w:t>19</w:t>
      </w:r>
      <w:r w:rsidRPr="00AF3DB5">
        <w:rPr>
          <w:rFonts w:cs="Arial"/>
          <w:b w:val="0"/>
          <w:color w:val="auto"/>
          <w:sz w:val="22"/>
          <w:szCs w:val="22"/>
        </w:rPr>
        <w:t xml:space="preserve"> </w:t>
      </w:r>
      <w:r w:rsidR="00356535" w:rsidRPr="00356535">
        <w:rPr>
          <w:rFonts w:cs="Arial"/>
          <w:b w:val="0"/>
          <w:color w:val="auto"/>
          <w:sz w:val="22"/>
          <w:szCs w:val="22"/>
        </w:rPr>
        <w:t>versa</w:t>
      </w:r>
      <w:r w:rsidR="00356535">
        <w:rPr>
          <w:rFonts w:cs="Arial"/>
          <w:b w:val="0"/>
          <w:color w:val="auto"/>
          <w:sz w:val="22"/>
          <w:szCs w:val="22"/>
        </w:rPr>
        <w:t xml:space="preserve"> </w:t>
      </w:r>
      <w:r w:rsidR="00356535" w:rsidRPr="00356535">
        <w:rPr>
          <w:rFonts w:cs="Arial"/>
          <w:b w:val="0"/>
          <w:color w:val="auto"/>
          <w:sz w:val="22"/>
          <w:szCs w:val="22"/>
        </w:rPr>
        <w:t>sobre alteração de dispositivos da Lei nº 8.934, de 18 de novembro de 1994, que dispõe sobre o</w:t>
      </w:r>
      <w:r w:rsidR="00356535">
        <w:rPr>
          <w:rFonts w:cs="Arial"/>
          <w:b w:val="0"/>
          <w:color w:val="auto"/>
          <w:sz w:val="22"/>
          <w:szCs w:val="22"/>
        </w:rPr>
        <w:t xml:space="preserve"> </w:t>
      </w:r>
      <w:r w:rsidR="00356535" w:rsidRPr="00356535">
        <w:rPr>
          <w:rFonts w:cs="Arial"/>
          <w:b w:val="0"/>
          <w:color w:val="auto"/>
          <w:sz w:val="22"/>
          <w:szCs w:val="22"/>
        </w:rPr>
        <w:t>Registro Público de Empresas Mercantis e Atividades Afins, almejando a melhoria do ambiente de</w:t>
      </w:r>
      <w:r w:rsidR="00356535">
        <w:rPr>
          <w:rFonts w:cs="Arial"/>
          <w:b w:val="0"/>
          <w:color w:val="auto"/>
          <w:sz w:val="22"/>
          <w:szCs w:val="22"/>
        </w:rPr>
        <w:t xml:space="preserve"> </w:t>
      </w:r>
      <w:r w:rsidR="00356535" w:rsidRPr="00356535">
        <w:rPr>
          <w:rFonts w:cs="Arial"/>
          <w:b w:val="0"/>
          <w:color w:val="auto"/>
          <w:sz w:val="22"/>
          <w:szCs w:val="22"/>
        </w:rPr>
        <w:t>negócios no Brasil, mediante a simplificação e a desburocratização da formalização do registro de</w:t>
      </w:r>
      <w:r w:rsidR="00356535">
        <w:rPr>
          <w:rFonts w:cs="Arial"/>
          <w:b w:val="0"/>
          <w:color w:val="auto"/>
          <w:sz w:val="22"/>
          <w:szCs w:val="22"/>
        </w:rPr>
        <w:t xml:space="preserve"> </w:t>
      </w:r>
      <w:r w:rsidR="00356535" w:rsidRPr="00356535">
        <w:rPr>
          <w:rFonts w:cs="Arial"/>
          <w:b w:val="0"/>
          <w:color w:val="auto"/>
          <w:sz w:val="22"/>
          <w:szCs w:val="22"/>
        </w:rPr>
        <w:t>empresas, especialmente para:</w:t>
      </w:r>
    </w:p>
    <w:p w:rsidR="00356535" w:rsidRPr="00356535" w:rsidRDefault="00356535" w:rsidP="00356535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356535">
        <w:rPr>
          <w:rFonts w:cs="Arial"/>
          <w:b w:val="0"/>
          <w:color w:val="auto"/>
          <w:sz w:val="22"/>
          <w:szCs w:val="22"/>
        </w:rPr>
        <w:t>a) Determinar o deferimento imediato do registro de constituição de empresários</w:t>
      </w:r>
      <w:r>
        <w:rPr>
          <w:rFonts w:cs="Arial"/>
          <w:b w:val="0"/>
          <w:color w:val="auto"/>
          <w:sz w:val="22"/>
          <w:szCs w:val="22"/>
        </w:rPr>
        <w:t xml:space="preserve"> </w:t>
      </w:r>
      <w:r w:rsidRPr="00356535">
        <w:rPr>
          <w:rFonts w:cs="Arial"/>
          <w:b w:val="0"/>
          <w:color w:val="auto"/>
          <w:sz w:val="22"/>
          <w:szCs w:val="22"/>
        </w:rPr>
        <w:t>individuais, empresas individuais de responsabilidade limitada e sociedades limitadas,</w:t>
      </w:r>
      <w:r>
        <w:rPr>
          <w:rFonts w:cs="Arial"/>
          <w:b w:val="0"/>
          <w:color w:val="auto"/>
          <w:sz w:val="22"/>
          <w:szCs w:val="22"/>
        </w:rPr>
        <w:t xml:space="preserve"> </w:t>
      </w:r>
      <w:r w:rsidRPr="00356535">
        <w:rPr>
          <w:rFonts w:cs="Arial"/>
          <w:b w:val="0"/>
          <w:color w:val="auto"/>
          <w:sz w:val="22"/>
          <w:szCs w:val="22"/>
        </w:rPr>
        <w:t xml:space="preserve">quando preenchidos determinados requisitos; </w:t>
      </w:r>
      <w:proofErr w:type="gramStart"/>
      <w:r w:rsidRPr="00356535">
        <w:rPr>
          <w:rFonts w:cs="Arial"/>
          <w:b w:val="0"/>
          <w:color w:val="auto"/>
          <w:sz w:val="22"/>
          <w:szCs w:val="22"/>
        </w:rPr>
        <w:t>e</w:t>
      </w:r>
      <w:proofErr w:type="gramEnd"/>
    </w:p>
    <w:p w:rsidR="00356535" w:rsidRPr="00356535" w:rsidRDefault="00356535" w:rsidP="00356535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356535">
        <w:rPr>
          <w:rFonts w:cs="Arial"/>
          <w:b w:val="0"/>
          <w:color w:val="auto"/>
          <w:sz w:val="22"/>
          <w:szCs w:val="22"/>
        </w:rPr>
        <w:t>b) Permitir que advogados e contadores declararem a autenticidade de documentos</w:t>
      </w:r>
      <w:r>
        <w:rPr>
          <w:rFonts w:cs="Arial"/>
          <w:b w:val="0"/>
          <w:color w:val="auto"/>
          <w:sz w:val="22"/>
          <w:szCs w:val="22"/>
        </w:rPr>
        <w:t xml:space="preserve"> </w:t>
      </w:r>
      <w:r w:rsidRPr="00356535">
        <w:rPr>
          <w:rFonts w:cs="Arial"/>
          <w:b w:val="0"/>
          <w:color w:val="auto"/>
          <w:sz w:val="22"/>
          <w:szCs w:val="22"/>
        </w:rPr>
        <w:t>submetidos a registro nas Juntas Comerciais.</w:t>
      </w:r>
    </w:p>
    <w:p w:rsidR="00356535" w:rsidRDefault="00356535" w:rsidP="00356535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3B19FE" w:rsidRDefault="00EA02B2" w:rsidP="00356535">
      <w:pPr>
        <w:pStyle w:val="Corpodetexto"/>
        <w:spacing w:before="120"/>
        <w:ind w:firstLine="1134"/>
        <w:jc w:val="both"/>
        <w:rPr>
          <w:b w:val="0"/>
          <w:color w:val="auto"/>
          <w:sz w:val="22"/>
          <w:szCs w:val="22"/>
        </w:rPr>
      </w:pPr>
      <w:r w:rsidRPr="003B19FE">
        <w:rPr>
          <w:rFonts w:cs="Arial"/>
          <w:b w:val="0"/>
          <w:color w:val="auto"/>
          <w:sz w:val="22"/>
          <w:szCs w:val="22"/>
        </w:rPr>
        <w:t xml:space="preserve">A Exposição de Motivos </w:t>
      </w:r>
      <w:r w:rsidR="00EB317A" w:rsidRPr="003B19FE">
        <w:rPr>
          <w:rFonts w:cs="Arial"/>
          <w:b w:val="0"/>
          <w:color w:val="auto"/>
          <w:sz w:val="22"/>
          <w:szCs w:val="22"/>
        </w:rPr>
        <w:t>(</w:t>
      </w:r>
      <w:r w:rsidRPr="003B19FE">
        <w:rPr>
          <w:rFonts w:cs="Arial"/>
          <w:b w:val="0"/>
          <w:color w:val="auto"/>
          <w:sz w:val="22"/>
          <w:szCs w:val="22"/>
        </w:rPr>
        <w:t>EM</w:t>
      </w:r>
      <w:r w:rsidR="00EB317A" w:rsidRPr="003B19FE">
        <w:rPr>
          <w:rFonts w:cs="Arial"/>
          <w:b w:val="0"/>
          <w:color w:val="auto"/>
          <w:sz w:val="22"/>
          <w:szCs w:val="22"/>
        </w:rPr>
        <w:t>)</w:t>
      </w:r>
      <w:r w:rsidRPr="003B19FE">
        <w:rPr>
          <w:rFonts w:cs="Arial"/>
          <w:b w:val="0"/>
          <w:color w:val="auto"/>
          <w:sz w:val="22"/>
          <w:szCs w:val="22"/>
        </w:rPr>
        <w:t xml:space="preserve"> nº 00</w:t>
      </w:r>
      <w:r w:rsidR="001104C9" w:rsidRPr="003B19FE">
        <w:rPr>
          <w:rFonts w:cs="Arial"/>
          <w:b w:val="0"/>
          <w:color w:val="auto"/>
          <w:sz w:val="22"/>
          <w:szCs w:val="22"/>
        </w:rPr>
        <w:t>0</w:t>
      </w:r>
      <w:r w:rsidR="00356535" w:rsidRPr="003B19FE">
        <w:rPr>
          <w:rFonts w:cs="Arial"/>
          <w:b w:val="0"/>
          <w:color w:val="auto"/>
          <w:sz w:val="22"/>
          <w:szCs w:val="22"/>
        </w:rPr>
        <w:t>36</w:t>
      </w:r>
      <w:r w:rsidRPr="003B19FE">
        <w:rPr>
          <w:rFonts w:cs="Arial"/>
          <w:b w:val="0"/>
          <w:color w:val="auto"/>
          <w:sz w:val="22"/>
          <w:szCs w:val="22"/>
        </w:rPr>
        <w:t>/201</w:t>
      </w:r>
      <w:r w:rsidR="001104C9" w:rsidRPr="003B19FE">
        <w:rPr>
          <w:rFonts w:cs="Arial"/>
          <w:b w:val="0"/>
          <w:color w:val="auto"/>
          <w:sz w:val="22"/>
          <w:szCs w:val="22"/>
        </w:rPr>
        <w:t>9</w:t>
      </w:r>
      <w:r w:rsidRPr="003B19FE">
        <w:rPr>
          <w:rFonts w:cs="Arial"/>
          <w:b w:val="0"/>
          <w:color w:val="auto"/>
          <w:sz w:val="22"/>
          <w:szCs w:val="22"/>
        </w:rPr>
        <w:t>-M</w:t>
      </w:r>
      <w:r w:rsidR="001104C9" w:rsidRPr="003B19FE">
        <w:rPr>
          <w:rFonts w:cs="Arial"/>
          <w:b w:val="0"/>
          <w:color w:val="auto"/>
          <w:sz w:val="22"/>
          <w:szCs w:val="22"/>
        </w:rPr>
        <w:t>E</w:t>
      </w:r>
      <w:r w:rsidRPr="003B19FE">
        <w:rPr>
          <w:rFonts w:cs="Arial"/>
          <w:b w:val="0"/>
          <w:color w:val="auto"/>
          <w:sz w:val="22"/>
          <w:szCs w:val="22"/>
        </w:rPr>
        <w:t xml:space="preserve">, de </w:t>
      </w:r>
      <w:r w:rsidR="00356535" w:rsidRPr="003B19FE">
        <w:rPr>
          <w:rFonts w:cs="Arial"/>
          <w:b w:val="0"/>
          <w:color w:val="auto"/>
          <w:sz w:val="22"/>
          <w:szCs w:val="22"/>
        </w:rPr>
        <w:t>26</w:t>
      </w:r>
      <w:r w:rsidRPr="003B19FE">
        <w:rPr>
          <w:rFonts w:cs="Arial"/>
          <w:b w:val="0"/>
          <w:color w:val="auto"/>
          <w:sz w:val="22"/>
          <w:szCs w:val="22"/>
        </w:rPr>
        <w:t xml:space="preserve"> de </w:t>
      </w:r>
      <w:r w:rsidR="00356535" w:rsidRPr="003B19FE">
        <w:rPr>
          <w:rFonts w:cs="Arial"/>
          <w:b w:val="0"/>
          <w:color w:val="auto"/>
          <w:sz w:val="22"/>
          <w:szCs w:val="22"/>
        </w:rPr>
        <w:t>fevereiro</w:t>
      </w:r>
      <w:r w:rsidRPr="003B19FE">
        <w:rPr>
          <w:rFonts w:cs="Arial"/>
          <w:b w:val="0"/>
          <w:color w:val="auto"/>
          <w:sz w:val="22"/>
          <w:szCs w:val="22"/>
        </w:rPr>
        <w:t xml:space="preserve"> de 201</w:t>
      </w:r>
      <w:r w:rsidR="001104C9" w:rsidRPr="003B19FE">
        <w:rPr>
          <w:rFonts w:cs="Arial"/>
          <w:b w:val="0"/>
          <w:color w:val="auto"/>
          <w:sz w:val="22"/>
          <w:szCs w:val="22"/>
        </w:rPr>
        <w:t>9</w:t>
      </w:r>
      <w:r w:rsidRPr="003B19FE">
        <w:rPr>
          <w:rFonts w:cs="Arial"/>
          <w:b w:val="0"/>
          <w:color w:val="auto"/>
          <w:sz w:val="22"/>
          <w:szCs w:val="22"/>
        </w:rPr>
        <w:t xml:space="preserve">, que acompanha a referida MP, </w:t>
      </w:r>
      <w:r w:rsidR="001E34C6" w:rsidRPr="003B19FE">
        <w:rPr>
          <w:rFonts w:cs="Arial"/>
          <w:b w:val="0"/>
          <w:color w:val="auto"/>
          <w:sz w:val="22"/>
          <w:szCs w:val="22"/>
        </w:rPr>
        <w:t>esclarece que</w:t>
      </w:r>
      <w:r w:rsidR="001F36C0" w:rsidRPr="003B19FE">
        <w:rPr>
          <w:rFonts w:cs="Arial"/>
          <w:b w:val="0"/>
          <w:color w:val="auto"/>
          <w:sz w:val="22"/>
          <w:szCs w:val="22"/>
        </w:rPr>
        <w:t xml:space="preserve"> </w:t>
      </w:r>
      <w:r w:rsidR="00AF3DB5" w:rsidRPr="003B19FE">
        <w:rPr>
          <w:rFonts w:cs="Arial"/>
          <w:b w:val="0"/>
          <w:color w:val="auto"/>
          <w:sz w:val="22"/>
          <w:szCs w:val="22"/>
        </w:rPr>
        <w:t xml:space="preserve">a </w:t>
      </w:r>
      <w:r w:rsidR="003B19FE" w:rsidRPr="003B19FE">
        <w:rPr>
          <w:b w:val="0"/>
          <w:color w:val="auto"/>
          <w:sz w:val="22"/>
          <w:szCs w:val="22"/>
        </w:rPr>
        <w:t>primeira medida visa a diminuir o tempo de abertura de pequenos empreendimentos, determinando que o deferimento do registro deles, após a etapa inicial de viabilidade (aprovação prévia do nome empresarial e do endereço), seja automático. Segundo as regras propostas, este procedimento abrangerá apenas os atos de constituição do Empresário Individual, da Empresa Individual de Responsabilidade Limitada (EIRELI) e da Sociedade Limitada (LTDA)</w:t>
      </w:r>
      <w:r w:rsidR="003B19FE">
        <w:rPr>
          <w:b w:val="0"/>
          <w:color w:val="auto"/>
          <w:sz w:val="22"/>
          <w:szCs w:val="22"/>
        </w:rPr>
        <w:t>, que são os</w:t>
      </w:r>
      <w:r w:rsidR="003B19FE" w:rsidRPr="003B19FE">
        <w:rPr>
          <w:b w:val="0"/>
          <w:color w:val="auto"/>
          <w:sz w:val="22"/>
          <w:szCs w:val="22"/>
        </w:rPr>
        <w:t xml:space="preserve"> tipos jurídicos </w:t>
      </w:r>
      <w:r w:rsidR="003B19FE">
        <w:rPr>
          <w:b w:val="0"/>
          <w:color w:val="auto"/>
          <w:sz w:val="22"/>
          <w:szCs w:val="22"/>
        </w:rPr>
        <w:t xml:space="preserve">com </w:t>
      </w:r>
      <w:r w:rsidR="003B19FE" w:rsidRPr="003B19FE">
        <w:rPr>
          <w:b w:val="0"/>
          <w:color w:val="auto"/>
          <w:sz w:val="22"/>
          <w:szCs w:val="22"/>
        </w:rPr>
        <w:t xml:space="preserve">atos constitutivos mais simples e, </w:t>
      </w:r>
      <w:r w:rsidR="003B19FE">
        <w:rPr>
          <w:b w:val="0"/>
          <w:color w:val="auto"/>
          <w:sz w:val="22"/>
          <w:szCs w:val="22"/>
        </w:rPr>
        <w:t xml:space="preserve">que </w:t>
      </w:r>
      <w:r w:rsidR="003B19FE" w:rsidRPr="003B19FE">
        <w:rPr>
          <w:b w:val="0"/>
          <w:color w:val="auto"/>
          <w:sz w:val="22"/>
          <w:szCs w:val="22"/>
        </w:rPr>
        <w:t>somados, representam a grande maioria dos pedidos de registro (96%, segundo dados da Federação Nacional de Juntas Comercias – FENAJU). O exame do cumprimento das formalidades legais do ato constitutivo</w:t>
      </w:r>
      <w:r w:rsidR="003B19FE">
        <w:rPr>
          <w:b w:val="0"/>
          <w:color w:val="auto"/>
          <w:sz w:val="22"/>
          <w:szCs w:val="22"/>
        </w:rPr>
        <w:t xml:space="preserve"> </w:t>
      </w:r>
      <w:r w:rsidR="003B19FE" w:rsidRPr="003B19FE">
        <w:rPr>
          <w:b w:val="0"/>
          <w:color w:val="auto"/>
          <w:sz w:val="22"/>
          <w:szCs w:val="22"/>
        </w:rPr>
        <w:t xml:space="preserve">não será eliminado, apenas postergado. Caso se identifiquem vícios sanáveis, serão formuladas as exigências pertinentes, e nesse caso o fato de já ter sido deferido o registro não acarreta nenhum problema relevante. Caso, porém, identifiquem-se vícios insanáveis, o registro deverá ser cancelado, cabendo à Junta comunicar os demais órgãos públicos para que tomem as devidas providências (cancelamento do CNPJ e da </w:t>
      </w:r>
      <w:r w:rsidR="003B19FE" w:rsidRPr="003B19FE">
        <w:rPr>
          <w:b w:val="0"/>
          <w:color w:val="auto"/>
          <w:sz w:val="22"/>
          <w:szCs w:val="22"/>
        </w:rPr>
        <w:lastRenderedPageBreak/>
        <w:t xml:space="preserve">inscrição estadual, por exemplo). </w:t>
      </w:r>
      <w:r w:rsidR="003B19FE">
        <w:rPr>
          <w:b w:val="0"/>
          <w:color w:val="auto"/>
          <w:sz w:val="22"/>
          <w:szCs w:val="22"/>
        </w:rPr>
        <w:t xml:space="preserve">Cabe lembrar que </w:t>
      </w:r>
      <w:r w:rsidR="003B19FE" w:rsidRPr="003B19FE">
        <w:rPr>
          <w:b w:val="0"/>
          <w:color w:val="auto"/>
          <w:sz w:val="22"/>
          <w:szCs w:val="22"/>
        </w:rPr>
        <w:t xml:space="preserve">casos de indeferimento de registro por vício insanável não chegam a 1%. </w:t>
      </w:r>
      <w:r w:rsidR="003B19FE">
        <w:rPr>
          <w:b w:val="0"/>
          <w:color w:val="auto"/>
          <w:sz w:val="22"/>
          <w:szCs w:val="22"/>
        </w:rPr>
        <w:t>A</w:t>
      </w:r>
      <w:r w:rsidR="003B19FE" w:rsidRPr="003B19FE">
        <w:rPr>
          <w:b w:val="0"/>
          <w:color w:val="auto"/>
          <w:sz w:val="22"/>
          <w:szCs w:val="22"/>
        </w:rPr>
        <w:t xml:space="preserve"> regra proposta restringe sua aplicação a atos constitutivos sujeitos a decisão singular, que são mais simples, e desde que seja adotado instrumento padrão fixado pelo Departamento Nacional de Registro Empresarial e Integração (DREI), o que reduzirá ainda mais as chances de haver vícios insanáveis. A alteração, portanto, coaduna-se com a necessidade de desburocratizar e reduzir o número de dias para abertura de empresas no País, melhorando a percepção do usuário sobre o serviço de registro público de empresas prestado pelas Juntas Comerciais. </w:t>
      </w:r>
    </w:p>
    <w:p w:rsidR="008F2C7F" w:rsidRDefault="003B19FE" w:rsidP="00356535">
      <w:pPr>
        <w:pStyle w:val="Corpodetexto"/>
        <w:spacing w:before="120"/>
        <w:ind w:firstLine="1134"/>
        <w:jc w:val="both"/>
        <w:rPr>
          <w:b w:val="0"/>
          <w:color w:val="auto"/>
          <w:sz w:val="22"/>
          <w:szCs w:val="22"/>
        </w:rPr>
      </w:pPr>
      <w:r>
        <w:rPr>
          <w:b w:val="0"/>
          <w:color w:val="auto"/>
          <w:sz w:val="22"/>
          <w:szCs w:val="22"/>
        </w:rPr>
        <w:t>Quanto à</w:t>
      </w:r>
      <w:r w:rsidRPr="003B19FE">
        <w:rPr>
          <w:b w:val="0"/>
          <w:color w:val="auto"/>
          <w:sz w:val="22"/>
          <w:szCs w:val="22"/>
        </w:rPr>
        <w:t xml:space="preserve"> segunda medida, </w:t>
      </w:r>
      <w:r>
        <w:rPr>
          <w:b w:val="0"/>
          <w:color w:val="auto"/>
          <w:sz w:val="22"/>
          <w:szCs w:val="22"/>
        </w:rPr>
        <w:t xml:space="preserve">vale observar que </w:t>
      </w:r>
      <w:r w:rsidRPr="003B19FE">
        <w:rPr>
          <w:b w:val="0"/>
          <w:color w:val="auto"/>
          <w:sz w:val="22"/>
          <w:szCs w:val="22"/>
        </w:rPr>
        <w:t xml:space="preserve">a exigência de autenticação de documentos em cartório é medida arcaica e que há tempos já vem sendo objeto de dispensas e relativizações. A própria Lei de Registro Público de Empresas (Lei 8.934/1994) dispensa a autenticação, quando puder “ser feita pelo cotejo da cópia com o original por servidor a quem o documento seja apresentado” (art. 63, parágrafo único, parte final). No mesmo sentido, a Lei da Desburocratização (Lei 13.726/2018) prevê que “é dispensada a exigência de autenticação de cópia de documento, cabendo ao agente administrativo, mediante a comparação entre o original e a cópia, atestar a autenticidade” (art. 3º, inciso II). No entanto, essas regras exigem a apresentação do documento original para conferência. Assim, permitir que o advogado ou contador do empresário declare, sob sua responsabilidade pessoal, a autenticidade dos documentos atende aos ideais de simplificação e desburocratização, ao mesmo tempo em que reduz a possibilidade de fraudes, ou pelo menos facilita a penalização dos responsáveis em caso de sua ocorrência. Vale ressaltar, ademais, que a possibilidade de declaração de autenticidade por advogado não é novidade: nos processos judiciais isso já ocorre há bastante tempo (art. 425, inciso IV do CPC e art. 830 da CLT). Optou-se por ampliar essa possibilidade ao contador, no âmbito do registro público de empresas, porque também se trata de profissional regulamentado e muito atuante nos procedimentos de registro perante as Juntas Comerciais. </w:t>
      </w:r>
    </w:p>
    <w:p w:rsidR="003B19FE" w:rsidRPr="003B19FE" w:rsidRDefault="003B19FE" w:rsidP="00356535">
      <w:pPr>
        <w:pStyle w:val="Corpodetexto"/>
        <w:spacing w:before="120"/>
        <w:ind w:firstLine="1134"/>
        <w:jc w:val="both"/>
        <w:rPr>
          <w:rFonts w:eastAsia="Calibri" w:cs="Arial"/>
          <w:b w:val="0"/>
          <w:color w:val="auto"/>
          <w:sz w:val="22"/>
          <w:szCs w:val="22"/>
          <w:lang w:eastAsia="en-US"/>
        </w:rPr>
      </w:pPr>
      <w:proofErr w:type="gramStart"/>
      <w:r w:rsidRPr="003B19FE">
        <w:rPr>
          <w:b w:val="0"/>
          <w:color w:val="auto"/>
          <w:sz w:val="22"/>
          <w:szCs w:val="22"/>
        </w:rPr>
        <w:t>As presentes</w:t>
      </w:r>
      <w:proofErr w:type="gramEnd"/>
      <w:r w:rsidRPr="003B19FE">
        <w:rPr>
          <w:b w:val="0"/>
          <w:color w:val="auto"/>
          <w:sz w:val="22"/>
          <w:szCs w:val="22"/>
        </w:rPr>
        <w:t xml:space="preserve"> medidas encontram-se em consonância com os ditames da Lei 13.460, de 26 de junho de 2017, que cria a Avaliação Continuada dos Serviços Públicos, e com os critérios do </w:t>
      </w:r>
      <w:proofErr w:type="spellStart"/>
      <w:r w:rsidRPr="003B19FE">
        <w:rPr>
          <w:b w:val="0"/>
          <w:color w:val="auto"/>
          <w:sz w:val="22"/>
          <w:szCs w:val="22"/>
        </w:rPr>
        <w:t>Doing</w:t>
      </w:r>
      <w:proofErr w:type="spellEnd"/>
      <w:r w:rsidRPr="003B19FE">
        <w:rPr>
          <w:b w:val="0"/>
          <w:color w:val="auto"/>
          <w:sz w:val="22"/>
          <w:szCs w:val="22"/>
        </w:rPr>
        <w:t xml:space="preserve"> Business. Por seu turno, o </w:t>
      </w:r>
      <w:proofErr w:type="spellStart"/>
      <w:r w:rsidRPr="003B19FE">
        <w:rPr>
          <w:b w:val="0"/>
          <w:color w:val="auto"/>
          <w:sz w:val="22"/>
          <w:szCs w:val="22"/>
        </w:rPr>
        <w:t>Doing</w:t>
      </w:r>
      <w:proofErr w:type="spellEnd"/>
      <w:r w:rsidRPr="003B19FE">
        <w:rPr>
          <w:b w:val="0"/>
          <w:color w:val="auto"/>
          <w:sz w:val="22"/>
          <w:szCs w:val="22"/>
        </w:rPr>
        <w:t xml:space="preserve"> Business – relatório elaborado pelo Banco Mundial, que avalia e classifica a facilidade para abertura de empresas nos países, é o mais importante indicador para a atração de investimentos. O processo de coleta de informações que gera o ranking conclui-se em março de cada ano. As medidas ora propostas impactam diretamente no tempo de registro de empresas, refletindo-se assim na posição do Brasil naquele ranking. Portanto, a </w:t>
      </w:r>
      <w:proofErr w:type="gramStart"/>
      <w:r w:rsidRPr="003B19FE">
        <w:rPr>
          <w:b w:val="0"/>
          <w:color w:val="auto"/>
          <w:sz w:val="22"/>
          <w:szCs w:val="22"/>
        </w:rPr>
        <w:t>implementação</w:t>
      </w:r>
      <w:proofErr w:type="gramEnd"/>
      <w:r w:rsidRPr="003B19FE">
        <w:rPr>
          <w:b w:val="0"/>
          <w:color w:val="auto"/>
          <w:sz w:val="22"/>
          <w:szCs w:val="22"/>
        </w:rPr>
        <w:t xml:space="preserve"> das presentes medidas ainda no mês de março ensejará a melhoria da posição do Brasil no ranking neste exercício, justificando-se desta forma a urgência e relevância desta proposta.</w:t>
      </w:r>
    </w:p>
    <w:p w:rsidR="007D55C7" w:rsidRPr="003B19FE" w:rsidRDefault="007D55C7" w:rsidP="007D55C7">
      <w:pPr>
        <w:pStyle w:val="Recuodecorpodetexto"/>
        <w:spacing w:before="120"/>
        <w:ind w:firstLine="1134"/>
        <w:rPr>
          <w:rFonts w:eastAsia="Calibri" w:cs="Arial"/>
          <w:szCs w:val="24"/>
          <w:lang w:eastAsia="en-US"/>
        </w:rPr>
      </w:pPr>
    </w:p>
    <w:p w:rsidR="00EA02B2" w:rsidRPr="00710E3C" w:rsidRDefault="00EA02B2" w:rsidP="0037591F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 w:rsidRPr="00710E3C">
        <w:rPr>
          <w:rFonts w:cs="Arial"/>
          <w:color w:val="auto"/>
          <w:szCs w:val="24"/>
        </w:rPr>
        <w:t xml:space="preserve">III </w:t>
      </w:r>
      <w:r w:rsidR="001223FA" w:rsidRPr="00710E3C">
        <w:rPr>
          <w:rFonts w:cs="Arial"/>
          <w:color w:val="auto"/>
          <w:szCs w:val="24"/>
        </w:rPr>
        <w:t>–</w:t>
      </w:r>
      <w:r w:rsidRPr="00710E3C">
        <w:rPr>
          <w:rFonts w:cs="Arial"/>
          <w:color w:val="auto"/>
          <w:szCs w:val="24"/>
        </w:rPr>
        <w:t xml:space="preserve"> DA</w:t>
      </w:r>
      <w:r w:rsidR="001223FA" w:rsidRPr="00710E3C">
        <w:rPr>
          <w:rFonts w:cs="Arial"/>
          <w:color w:val="auto"/>
          <w:szCs w:val="24"/>
        </w:rPr>
        <w:t xml:space="preserve"> </w:t>
      </w:r>
      <w:r w:rsidRPr="00710E3C">
        <w:rPr>
          <w:rFonts w:cs="Arial"/>
          <w:color w:val="auto"/>
          <w:szCs w:val="24"/>
        </w:rPr>
        <w:t>ADEQUAÇÃO FINANCEIRA E ORÇAMENTÁRIA</w:t>
      </w:r>
    </w:p>
    <w:p w:rsidR="00622849" w:rsidRPr="00A5335E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A5335E">
        <w:rPr>
          <w:rFonts w:cs="Arial"/>
          <w:b w:val="0"/>
          <w:color w:val="auto"/>
          <w:sz w:val="22"/>
          <w:szCs w:val="22"/>
        </w:rPr>
        <w:t xml:space="preserve">O § 1º do art. 5º da Resolução nº 1, de 2002 – CN, que “Dispõe sobre a apreciação, pelo Congresso Nacional, das Medidas Provisórias a que se refere o art. 62 da Constituição Federal, e dá outras providências”, refere-se da seguinte forma ao exame de adequação orçamentária e financeira: “O exame de compatibilidade e adequação orçamentária e financeira das Medidas Provisórias abrange a análise da repercussão sobre a receita ou a despesa pública da União e da implicação quanto ao atendimento das normas orçamentárias e financeiras vigentes, em especial a conformidade com a Lei Complementar nº 101, de </w:t>
      </w:r>
      <w:proofErr w:type="gramStart"/>
      <w:r w:rsidRPr="00A5335E">
        <w:rPr>
          <w:rFonts w:cs="Arial"/>
          <w:b w:val="0"/>
          <w:color w:val="auto"/>
          <w:sz w:val="22"/>
          <w:szCs w:val="22"/>
        </w:rPr>
        <w:t>4</w:t>
      </w:r>
      <w:proofErr w:type="gramEnd"/>
      <w:r w:rsidRPr="00A5335E">
        <w:rPr>
          <w:rFonts w:cs="Arial"/>
          <w:b w:val="0"/>
          <w:color w:val="auto"/>
          <w:sz w:val="22"/>
          <w:szCs w:val="22"/>
        </w:rPr>
        <w:t xml:space="preserve"> de maio de 2000, a lei do plano plurianual, a lei de diretrizes orçamentárias e a lei orçamentária da União”.</w:t>
      </w:r>
    </w:p>
    <w:p w:rsidR="00622849" w:rsidRPr="005F3A54" w:rsidRDefault="00622849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5F3A54">
        <w:rPr>
          <w:rFonts w:cs="Arial"/>
          <w:b w:val="0"/>
          <w:color w:val="auto"/>
          <w:sz w:val="22"/>
          <w:szCs w:val="22"/>
        </w:rPr>
        <w:t>Também não se verificou infringência aos demais dispositivos pertinentes da legislação orçamentária se mostram atendidos, em especial aqueles relativos especificamente a créditos extraordinários, constantes da LDO.</w:t>
      </w:r>
    </w:p>
    <w:p w:rsidR="00CE0EC7" w:rsidRPr="00845630" w:rsidRDefault="00CE0EC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9764D" w:rsidRPr="00845630" w:rsidRDefault="008F2C7F" w:rsidP="00B9764D">
      <w:pPr>
        <w:pStyle w:val="Corpodetexto"/>
        <w:spacing w:before="120" w:after="240"/>
        <w:jc w:val="left"/>
        <w:rPr>
          <w:rFonts w:cs="Arial"/>
          <w:color w:val="auto"/>
          <w:szCs w:val="24"/>
        </w:rPr>
      </w:pPr>
      <w:r>
        <w:rPr>
          <w:rFonts w:cs="Arial"/>
          <w:color w:val="auto"/>
          <w:szCs w:val="24"/>
        </w:rPr>
        <w:t>I</w:t>
      </w:r>
      <w:r w:rsidR="00B9764D" w:rsidRPr="00845630">
        <w:rPr>
          <w:rFonts w:cs="Arial"/>
          <w:color w:val="auto"/>
          <w:szCs w:val="24"/>
        </w:rPr>
        <w:t>V – CONCLUSÃO</w:t>
      </w:r>
    </w:p>
    <w:p w:rsidR="00B9764D" w:rsidRPr="00845630" w:rsidRDefault="00B9764D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BE2470" w:rsidRPr="00845630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>
        <w:rPr>
          <w:rFonts w:cs="Arial"/>
          <w:b w:val="0"/>
          <w:color w:val="auto"/>
          <w:sz w:val="22"/>
          <w:szCs w:val="22"/>
        </w:rPr>
        <w:t>Diante das informações aqui expostas, entendemos que a presente Medida Provisória atende a legislação aplicável</w:t>
      </w:r>
      <w:r w:rsidR="00311157">
        <w:rPr>
          <w:rFonts w:cs="Arial"/>
          <w:b w:val="0"/>
          <w:color w:val="auto"/>
          <w:sz w:val="22"/>
          <w:szCs w:val="22"/>
        </w:rPr>
        <w:t xml:space="preserve"> sob o ponto de vista da adequação orçamentária e financeira</w:t>
      </w:r>
      <w:r w:rsidR="00BE2470" w:rsidRPr="00845630">
        <w:rPr>
          <w:rFonts w:cs="Arial"/>
          <w:b w:val="0"/>
          <w:color w:val="auto"/>
          <w:sz w:val="22"/>
          <w:szCs w:val="22"/>
        </w:rPr>
        <w:t>.</w:t>
      </w:r>
    </w:p>
    <w:p w:rsidR="00EA02B2" w:rsidRPr="00845630" w:rsidRDefault="00E43C34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845630">
        <w:rPr>
          <w:rFonts w:cs="Arial"/>
          <w:b w:val="0"/>
          <w:color w:val="auto"/>
          <w:sz w:val="22"/>
          <w:szCs w:val="22"/>
        </w:rPr>
        <w:t>São e</w:t>
      </w:r>
      <w:r w:rsidR="00EA02B2" w:rsidRPr="00845630">
        <w:rPr>
          <w:rFonts w:cs="Arial"/>
          <w:b w:val="0"/>
          <w:color w:val="auto"/>
          <w:sz w:val="22"/>
          <w:szCs w:val="22"/>
        </w:rPr>
        <w:t>sses os subsídios</w:t>
      </w:r>
      <w:r w:rsidRPr="00845630">
        <w:rPr>
          <w:rFonts w:cs="Arial"/>
          <w:b w:val="0"/>
          <w:color w:val="auto"/>
          <w:sz w:val="22"/>
          <w:szCs w:val="22"/>
        </w:rPr>
        <w:t xml:space="preserve"> considerados </w:t>
      </w:r>
      <w:r w:rsidR="001534B9" w:rsidRPr="00845630">
        <w:rPr>
          <w:rFonts w:cs="Arial"/>
          <w:b w:val="0"/>
          <w:color w:val="auto"/>
          <w:sz w:val="22"/>
          <w:szCs w:val="22"/>
        </w:rPr>
        <w:t>pertinentes</w:t>
      </w:r>
      <w:r w:rsidR="00EA02B2" w:rsidRPr="00845630">
        <w:rPr>
          <w:rFonts w:cs="Arial"/>
          <w:b w:val="0"/>
          <w:color w:val="auto"/>
          <w:sz w:val="22"/>
          <w:szCs w:val="22"/>
        </w:rPr>
        <w:t>.</w:t>
      </w:r>
    </w:p>
    <w:p w:rsidR="008652E0" w:rsidRPr="00845630" w:rsidRDefault="008652E0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</w:p>
    <w:p w:rsidR="00337F37" w:rsidRPr="00845630" w:rsidRDefault="00337F37" w:rsidP="007D55C7">
      <w:pPr>
        <w:pStyle w:val="Corpodetexto"/>
        <w:spacing w:before="120"/>
        <w:ind w:firstLine="1134"/>
        <w:jc w:val="both"/>
        <w:rPr>
          <w:rFonts w:cs="Arial"/>
          <w:b w:val="0"/>
          <w:color w:val="auto"/>
          <w:sz w:val="22"/>
          <w:szCs w:val="22"/>
        </w:rPr>
      </w:pPr>
      <w:r w:rsidRPr="00845630">
        <w:rPr>
          <w:rFonts w:cs="Arial"/>
          <w:b w:val="0"/>
          <w:color w:val="auto"/>
          <w:sz w:val="22"/>
          <w:szCs w:val="22"/>
        </w:rPr>
        <w:t xml:space="preserve">Brasília, </w:t>
      </w:r>
      <w:r w:rsidR="00C72F2D">
        <w:rPr>
          <w:rFonts w:cs="Arial"/>
          <w:b w:val="0"/>
          <w:color w:val="auto"/>
          <w:sz w:val="22"/>
          <w:szCs w:val="22"/>
        </w:rPr>
        <w:t>2</w:t>
      </w:r>
      <w:r w:rsidR="008F2C7F">
        <w:rPr>
          <w:rFonts w:cs="Arial"/>
          <w:b w:val="0"/>
          <w:color w:val="auto"/>
          <w:sz w:val="22"/>
          <w:szCs w:val="22"/>
        </w:rPr>
        <w:t>6</w:t>
      </w:r>
      <w:r w:rsidRPr="00845630">
        <w:rPr>
          <w:rFonts w:cs="Arial"/>
          <w:b w:val="0"/>
          <w:color w:val="auto"/>
          <w:sz w:val="22"/>
          <w:szCs w:val="22"/>
        </w:rPr>
        <w:t xml:space="preserve"> de </w:t>
      </w:r>
      <w:r w:rsidR="00C72F2D">
        <w:rPr>
          <w:rFonts w:cs="Arial"/>
          <w:b w:val="0"/>
          <w:color w:val="auto"/>
          <w:sz w:val="22"/>
          <w:szCs w:val="22"/>
        </w:rPr>
        <w:t>març</w:t>
      </w:r>
      <w:r w:rsidR="00845630">
        <w:rPr>
          <w:rFonts w:cs="Arial"/>
          <w:b w:val="0"/>
          <w:color w:val="auto"/>
          <w:sz w:val="22"/>
          <w:szCs w:val="22"/>
        </w:rPr>
        <w:t>o</w:t>
      </w:r>
      <w:r w:rsidRPr="00845630">
        <w:rPr>
          <w:rFonts w:cs="Arial"/>
          <w:b w:val="0"/>
          <w:color w:val="auto"/>
          <w:sz w:val="22"/>
          <w:szCs w:val="22"/>
        </w:rPr>
        <w:t xml:space="preserve"> de 201</w:t>
      </w:r>
      <w:r w:rsidR="00C72F2D">
        <w:rPr>
          <w:rFonts w:cs="Arial"/>
          <w:b w:val="0"/>
          <w:color w:val="auto"/>
          <w:sz w:val="22"/>
          <w:szCs w:val="22"/>
        </w:rPr>
        <w:t>9</w:t>
      </w:r>
      <w:r w:rsidRPr="00845630">
        <w:rPr>
          <w:rFonts w:cs="Arial"/>
          <w:b w:val="0"/>
          <w:color w:val="auto"/>
          <w:sz w:val="22"/>
          <w:szCs w:val="22"/>
        </w:rPr>
        <w:t>.</w:t>
      </w:r>
    </w:p>
    <w:p w:rsidR="00337B48" w:rsidRPr="00845630" w:rsidRDefault="00337B48" w:rsidP="00C745D2">
      <w:pPr>
        <w:keepNext/>
        <w:spacing w:after="120" w:line="360" w:lineRule="auto"/>
        <w:ind w:left="425"/>
        <w:jc w:val="both"/>
        <w:outlineLvl w:val="1"/>
        <w:rPr>
          <w:rFonts w:ascii="Times New Roman" w:hAnsi="Times New Roman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337F37" w:rsidRPr="00845630" w:rsidRDefault="00337F37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</w:p>
    <w:p w:rsidR="001E0BB2" w:rsidRPr="00845630" w:rsidRDefault="008F2C7F" w:rsidP="001534B9">
      <w:pPr>
        <w:keepNext/>
        <w:ind w:left="425"/>
        <w:jc w:val="center"/>
        <w:outlineLvl w:val="1"/>
        <w:rPr>
          <w:rFonts w:cs="Arial"/>
          <w:sz w:val="22"/>
          <w:szCs w:val="22"/>
        </w:rPr>
      </w:pPr>
      <w:r w:rsidRPr="008F2C7F">
        <w:rPr>
          <w:rFonts w:cs="Arial"/>
          <w:sz w:val="22"/>
          <w:szCs w:val="22"/>
        </w:rPr>
        <w:t>Sidney José de Souza Júnior</w:t>
      </w:r>
    </w:p>
    <w:p w:rsidR="001E0BB2" w:rsidRPr="00845630" w:rsidRDefault="001E0BB2" w:rsidP="00C745D2">
      <w:pPr>
        <w:keepNext/>
        <w:spacing w:after="120" w:line="360" w:lineRule="auto"/>
        <w:ind w:left="425"/>
        <w:jc w:val="center"/>
        <w:outlineLvl w:val="1"/>
        <w:rPr>
          <w:rFonts w:cs="Arial"/>
          <w:sz w:val="22"/>
          <w:szCs w:val="22"/>
        </w:rPr>
      </w:pPr>
      <w:r w:rsidRPr="00845630">
        <w:rPr>
          <w:rFonts w:cs="Arial"/>
          <w:sz w:val="22"/>
          <w:szCs w:val="22"/>
        </w:rPr>
        <w:t>Consultor de Orçamento e Fiscalização Financeira</w:t>
      </w:r>
      <w:r w:rsidR="00587F25" w:rsidRPr="00845630">
        <w:rPr>
          <w:rFonts w:cs="Arial"/>
          <w:sz w:val="22"/>
          <w:szCs w:val="22"/>
        </w:rPr>
        <w:t>/CD</w:t>
      </w:r>
    </w:p>
    <w:p w:rsidR="001E0BB2" w:rsidRPr="004B1929" w:rsidRDefault="001E0BB2" w:rsidP="00B657F2">
      <w:pPr>
        <w:spacing w:line="300" w:lineRule="auto"/>
        <w:ind w:left="426"/>
        <w:jc w:val="center"/>
        <w:rPr>
          <w:rFonts w:ascii="Times New Roman" w:hAnsi="Times New Roman"/>
          <w:color w:val="000000"/>
          <w:szCs w:val="24"/>
        </w:rPr>
      </w:pPr>
    </w:p>
    <w:sectPr w:rsidR="001E0BB2" w:rsidRPr="004B1929" w:rsidSect="007D55C7">
      <w:headerReference w:type="default" r:id="rId11"/>
      <w:footerReference w:type="even" r:id="rId12"/>
      <w:footerReference w:type="default" r:id="rId13"/>
      <w:pgSz w:w="11907" w:h="16840" w:code="9"/>
      <w:pgMar w:top="1134" w:right="1134" w:bottom="1560" w:left="1134" w:header="709" w:footer="567" w:gutter="0"/>
      <w:pgNumType w:start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5312C" w:rsidRDefault="00D5312C">
      <w:r>
        <w:separator/>
      </w:r>
    </w:p>
  </w:endnote>
  <w:endnote w:type="continuationSeparator" w:id="0">
    <w:p w:rsidR="00D5312C" w:rsidRDefault="00D531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1CE4" w:rsidRDefault="000F1CE4">
    <w:pPr>
      <w:pStyle w:val="Rodap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0F1CE4" w:rsidRDefault="000F1CE4">
    <w:pPr>
      <w:pStyle w:val="Rodap"/>
    </w:pPr>
  </w:p>
  <w:p w:rsidR="000F1CE4" w:rsidRDefault="000F1CE4"/>
  <w:p w:rsidR="000F1CE4" w:rsidRDefault="000F1CE4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F4F54" w:rsidRPr="003F4F54" w:rsidRDefault="003F4F54">
    <w:pPr>
      <w:pStyle w:val="Rodap"/>
      <w:jc w:val="right"/>
      <w:rPr>
        <w:b/>
        <w:sz w:val="20"/>
      </w:rPr>
    </w:pPr>
    <w:r w:rsidRPr="003F4F54">
      <w:rPr>
        <w:b/>
        <w:sz w:val="20"/>
      </w:rPr>
      <w:fldChar w:fldCharType="begin"/>
    </w:r>
    <w:r w:rsidRPr="003F4F54">
      <w:rPr>
        <w:b/>
        <w:sz w:val="20"/>
      </w:rPr>
      <w:instrText>PAGE   \* MERGEFORMAT</w:instrText>
    </w:r>
    <w:r w:rsidRPr="003F4F54">
      <w:rPr>
        <w:b/>
        <w:sz w:val="20"/>
      </w:rPr>
      <w:fldChar w:fldCharType="separate"/>
    </w:r>
    <w:r w:rsidR="003B4FBE">
      <w:rPr>
        <w:b/>
        <w:noProof/>
        <w:sz w:val="20"/>
      </w:rPr>
      <w:t>3</w:t>
    </w:r>
    <w:r w:rsidRPr="003F4F54">
      <w:rPr>
        <w:b/>
        <w:sz w:val="20"/>
      </w:rPr>
      <w:fldChar w:fldCharType="end"/>
    </w:r>
  </w:p>
  <w:p w:rsidR="00D645B2" w:rsidRPr="003F4F54" w:rsidRDefault="00D645B2" w:rsidP="003F4F54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5312C" w:rsidRDefault="00D5312C">
      <w:r>
        <w:separator/>
      </w:r>
    </w:p>
  </w:footnote>
  <w:footnote w:type="continuationSeparator" w:id="0">
    <w:p w:rsidR="00D5312C" w:rsidRDefault="00D5312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645B2" w:rsidRPr="00B657F2" w:rsidRDefault="000F1CE4" w:rsidP="00B657F2">
    <w:pPr>
      <w:framePr w:w="6498" w:h="573" w:hSpace="142" w:wrap="notBeside" w:vAnchor="page" w:hAnchor="page" w:x="3082" w:y="1247"/>
      <w:spacing w:after="120"/>
      <w:rPr>
        <w:rFonts w:ascii="Cambria" w:hAnsi="Cambria"/>
        <w:b/>
        <w:sz w:val="32"/>
      </w:rPr>
    </w:pPr>
    <w:r w:rsidRPr="000F1CE4">
      <w:rPr>
        <w:rFonts w:ascii="Cambria" w:hAnsi="Cambria"/>
        <w:b/>
        <w:sz w:val="28"/>
      </w:rPr>
      <w:t xml:space="preserve">CÂMARA DOS DEPUTADOS </w:t>
    </w:r>
  </w:p>
  <w:p w:rsidR="000F1CE4" w:rsidRPr="000F1CE4" w:rsidRDefault="000F1CE4" w:rsidP="00D645B2">
    <w:pPr>
      <w:framePr w:w="6498" w:h="573" w:hSpace="142" w:wrap="notBeside" w:vAnchor="page" w:hAnchor="page" w:x="3082" w:y="1247"/>
      <w:rPr>
        <w:rFonts w:ascii="Cambria" w:hAnsi="Cambria"/>
        <w:b/>
      </w:rPr>
    </w:pPr>
    <w:r w:rsidRPr="000F1CE4">
      <w:rPr>
        <w:rFonts w:ascii="Cambria" w:hAnsi="Cambria"/>
        <w:b/>
      </w:rPr>
      <w:t>Consultoria de Orçamento e Fiscalização Financeira</w:t>
    </w:r>
  </w:p>
  <w:bookmarkStart w:id="1" w:name="_MON_1520263158"/>
  <w:bookmarkEnd w:id="1"/>
  <w:p w:rsidR="00D645B2" w:rsidRDefault="003721C3" w:rsidP="001E0BB2">
    <w:pPr>
      <w:tabs>
        <w:tab w:val="left" w:pos="1174"/>
      </w:tabs>
      <w:spacing w:after="240"/>
      <w:jc w:val="both"/>
    </w:pPr>
    <w:r>
      <w:object w:dxaOrig="1401" w:dyaOrig="140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76.4pt;height:76.4pt" o:ole="" fillcolor="window">
          <v:imagedata r:id="rId1" o:title=""/>
        </v:shape>
        <o:OLEObject Type="Embed" ProgID="Word.Picture.8" ShapeID="_x0000_i1025" DrawAspect="Content" ObjectID="_1615108618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561CC9"/>
    <w:multiLevelType w:val="hybridMultilevel"/>
    <w:tmpl w:val="FC4C75A6"/>
    <w:lvl w:ilvl="0" w:tplc="711A56DE">
      <w:start w:val="1"/>
      <w:numFmt w:val="lowerLetter"/>
      <w:lvlText w:val="%1)"/>
      <w:lvlJc w:val="left"/>
      <w:pPr>
        <w:ind w:left="149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F415D9E"/>
    <w:multiLevelType w:val="hybridMultilevel"/>
    <w:tmpl w:val="FABEE644"/>
    <w:lvl w:ilvl="0" w:tplc="C2F028D6">
      <w:start w:val="1"/>
      <w:numFmt w:val="lowerRoman"/>
      <w:lvlText w:val="%1."/>
      <w:lvlJc w:val="left"/>
      <w:pPr>
        <w:ind w:left="1713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CF15122"/>
    <w:multiLevelType w:val="singleLevel"/>
    <w:tmpl w:val="4074EE29"/>
    <w:lvl w:ilvl="0">
      <w:start w:val="6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3">
    <w:nsid w:val="27964F30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2F6F694E"/>
    <w:multiLevelType w:val="hybridMultilevel"/>
    <w:tmpl w:val="27E833CA"/>
    <w:lvl w:ilvl="0" w:tplc="0E30A8C6">
      <w:start w:val="1"/>
      <w:numFmt w:val="lowerRoman"/>
      <w:lvlText w:val="%1."/>
      <w:lvlJc w:val="left"/>
      <w:pPr>
        <w:ind w:left="1080" w:hanging="720"/>
      </w:pPr>
      <w:rPr>
        <w:rFonts w:ascii="Cambria" w:hAnsi="Cambria" w:hint="default"/>
        <w:i w:val="0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14A2B2D"/>
    <w:multiLevelType w:val="hybridMultilevel"/>
    <w:tmpl w:val="C32A9F24"/>
    <w:lvl w:ilvl="0" w:tplc="069E41B8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14" w:hanging="360"/>
      </w:pPr>
    </w:lvl>
    <w:lvl w:ilvl="2" w:tplc="0409001B" w:tentative="1">
      <w:start w:val="1"/>
      <w:numFmt w:val="lowerRoman"/>
      <w:lvlText w:val="%3."/>
      <w:lvlJc w:val="right"/>
      <w:pPr>
        <w:ind w:left="2934" w:hanging="180"/>
      </w:pPr>
    </w:lvl>
    <w:lvl w:ilvl="3" w:tplc="0409000F" w:tentative="1">
      <w:start w:val="1"/>
      <w:numFmt w:val="decimal"/>
      <w:lvlText w:val="%4."/>
      <w:lvlJc w:val="left"/>
      <w:pPr>
        <w:ind w:left="3654" w:hanging="360"/>
      </w:pPr>
    </w:lvl>
    <w:lvl w:ilvl="4" w:tplc="04090019" w:tentative="1">
      <w:start w:val="1"/>
      <w:numFmt w:val="lowerLetter"/>
      <w:lvlText w:val="%5."/>
      <w:lvlJc w:val="left"/>
      <w:pPr>
        <w:ind w:left="4374" w:hanging="360"/>
      </w:pPr>
    </w:lvl>
    <w:lvl w:ilvl="5" w:tplc="0409001B" w:tentative="1">
      <w:start w:val="1"/>
      <w:numFmt w:val="lowerRoman"/>
      <w:lvlText w:val="%6."/>
      <w:lvlJc w:val="right"/>
      <w:pPr>
        <w:ind w:left="5094" w:hanging="180"/>
      </w:pPr>
    </w:lvl>
    <w:lvl w:ilvl="6" w:tplc="0409000F" w:tentative="1">
      <w:start w:val="1"/>
      <w:numFmt w:val="decimal"/>
      <w:lvlText w:val="%7."/>
      <w:lvlJc w:val="left"/>
      <w:pPr>
        <w:ind w:left="5814" w:hanging="360"/>
      </w:pPr>
    </w:lvl>
    <w:lvl w:ilvl="7" w:tplc="04090019" w:tentative="1">
      <w:start w:val="1"/>
      <w:numFmt w:val="lowerLetter"/>
      <w:lvlText w:val="%8."/>
      <w:lvlJc w:val="left"/>
      <w:pPr>
        <w:ind w:left="6534" w:hanging="360"/>
      </w:pPr>
    </w:lvl>
    <w:lvl w:ilvl="8" w:tplc="04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>
    <w:nsid w:val="4979AC00"/>
    <w:multiLevelType w:val="singleLevel"/>
    <w:tmpl w:val="7C7AB646"/>
    <w:lvl w:ilvl="0">
      <w:start w:val="1"/>
      <w:numFmt w:val="decimal"/>
      <w:lvlText w:val="%1."/>
      <w:lvlJc w:val="left"/>
      <w:pPr>
        <w:widowControl w:val="0"/>
        <w:tabs>
          <w:tab w:val="num" w:pos="1864"/>
        </w:tabs>
        <w:ind w:left="64"/>
      </w:pPr>
    </w:lvl>
  </w:abstractNum>
  <w:abstractNum w:abstractNumId="7">
    <w:nsid w:val="49DA00E5"/>
    <w:multiLevelType w:val="hybridMultilevel"/>
    <w:tmpl w:val="DBA274C0"/>
    <w:lvl w:ilvl="0" w:tplc="D8EC82D0">
      <w:start w:val="1"/>
      <w:numFmt w:val="lowerRoman"/>
      <w:lvlText w:val="%1."/>
      <w:lvlJc w:val="left"/>
      <w:pPr>
        <w:ind w:left="270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065" w:hanging="360"/>
      </w:pPr>
    </w:lvl>
    <w:lvl w:ilvl="2" w:tplc="0416001B" w:tentative="1">
      <w:start w:val="1"/>
      <w:numFmt w:val="lowerRoman"/>
      <w:lvlText w:val="%3."/>
      <w:lvlJc w:val="right"/>
      <w:pPr>
        <w:ind w:left="3785" w:hanging="180"/>
      </w:pPr>
    </w:lvl>
    <w:lvl w:ilvl="3" w:tplc="0416000F" w:tentative="1">
      <w:start w:val="1"/>
      <w:numFmt w:val="decimal"/>
      <w:lvlText w:val="%4."/>
      <w:lvlJc w:val="left"/>
      <w:pPr>
        <w:ind w:left="4505" w:hanging="360"/>
      </w:pPr>
    </w:lvl>
    <w:lvl w:ilvl="4" w:tplc="04160019" w:tentative="1">
      <w:start w:val="1"/>
      <w:numFmt w:val="lowerLetter"/>
      <w:lvlText w:val="%5."/>
      <w:lvlJc w:val="left"/>
      <w:pPr>
        <w:ind w:left="5225" w:hanging="360"/>
      </w:pPr>
    </w:lvl>
    <w:lvl w:ilvl="5" w:tplc="0416001B" w:tentative="1">
      <w:start w:val="1"/>
      <w:numFmt w:val="lowerRoman"/>
      <w:lvlText w:val="%6."/>
      <w:lvlJc w:val="right"/>
      <w:pPr>
        <w:ind w:left="5945" w:hanging="180"/>
      </w:pPr>
    </w:lvl>
    <w:lvl w:ilvl="6" w:tplc="0416000F" w:tentative="1">
      <w:start w:val="1"/>
      <w:numFmt w:val="decimal"/>
      <w:lvlText w:val="%7."/>
      <w:lvlJc w:val="left"/>
      <w:pPr>
        <w:ind w:left="6665" w:hanging="360"/>
      </w:pPr>
    </w:lvl>
    <w:lvl w:ilvl="7" w:tplc="04160019" w:tentative="1">
      <w:start w:val="1"/>
      <w:numFmt w:val="lowerLetter"/>
      <w:lvlText w:val="%8."/>
      <w:lvlJc w:val="left"/>
      <w:pPr>
        <w:ind w:left="7385" w:hanging="360"/>
      </w:pPr>
    </w:lvl>
    <w:lvl w:ilvl="8" w:tplc="0416001B" w:tentative="1">
      <w:start w:val="1"/>
      <w:numFmt w:val="lowerRoman"/>
      <w:lvlText w:val="%9."/>
      <w:lvlJc w:val="right"/>
      <w:pPr>
        <w:ind w:left="8105" w:hanging="180"/>
      </w:pPr>
    </w:lvl>
  </w:abstractNum>
  <w:abstractNum w:abstractNumId="8">
    <w:nsid w:val="528F7846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57C022BA"/>
    <w:multiLevelType w:val="singleLevel"/>
    <w:tmpl w:val="F85A3AC6"/>
    <w:lvl w:ilvl="0">
      <w:start w:val="2"/>
      <w:numFmt w:val="upperRoman"/>
      <w:lvlText w:val="%1."/>
      <w:lvlJc w:val="left"/>
      <w:pPr>
        <w:tabs>
          <w:tab w:val="num" w:pos="1140"/>
        </w:tabs>
        <w:ind w:left="1140" w:hanging="1140"/>
      </w:pPr>
      <w:rPr>
        <w:rFonts w:hint="default"/>
      </w:rPr>
    </w:lvl>
  </w:abstractNum>
  <w:abstractNum w:abstractNumId="10">
    <w:nsid w:val="5D9018E9"/>
    <w:multiLevelType w:val="hybridMultilevel"/>
    <w:tmpl w:val="50C40782"/>
    <w:lvl w:ilvl="0" w:tplc="FC642CE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9883201"/>
    <w:multiLevelType w:val="hybridMultilevel"/>
    <w:tmpl w:val="0CBCD5B4"/>
    <w:lvl w:ilvl="0" w:tplc="0416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8"/>
  </w:num>
  <w:num w:numId="3">
    <w:abstractNumId w:val="6"/>
  </w:num>
  <w:num w:numId="4">
    <w:abstractNumId w:val="2"/>
  </w:num>
  <w:num w:numId="5">
    <w:abstractNumId w:val="9"/>
  </w:num>
  <w:num w:numId="6">
    <w:abstractNumId w:val="7"/>
  </w:num>
  <w:num w:numId="7">
    <w:abstractNumId w:val="10"/>
  </w:num>
  <w:num w:numId="8">
    <w:abstractNumId w:val="4"/>
  </w:num>
  <w:num w:numId="9">
    <w:abstractNumId w:val="1"/>
  </w:num>
  <w:num w:numId="10">
    <w:abstractNumId w:val="11"/>
  </w:num>
  <w:num w:numId="11">
    <w:abstractNumId w:val="0"/>
  </w:num>
  <w:num w:numId="1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141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21C3"/>
    <w:rsid w:val="00000A03"/>
    <w:rsid w:val="00004ED6"/>
    <w:rsid w:val="00020877"/>
    <w:rsid w:val="000211FB"/>
    <w:rsid w:val="00021A4D"/>
    <w:rsid w:val="00024EA9"/>
    <w:rsid w:val="000324EC"/>
    <w:rsid w:val="00051742"/>
    <w:rsid w:val="000627C0"/>
    <w:rsid w:val="0006363E"/>
    <w:rsid w:val="00067DEE"/>
    <w:rsid w:val="00082C1E"/>
    <w:rsid w:val="000A31C8"/>
    <w:rsid w:val="000A4A09"/>
    <w:rsid w:val="000C6B48"/>
    <w:rsid w:val="000D1C6A"/>
    <w:rsid w:val="000E1ACB"/>
    <w:rsid w:val="000E2C80"/>
    <w:rsid w:val="000F1CE4"/>
    <w:rsid w:val="001060AC"/>
    <w:rsid w:val="001104C9"/>
    <w:rsid w:val="001223FA"/>
    <w:rsid w:val="00123843"/>
    <w:rsid w:val="00127B0B"/>
    <w:rsid w:val="00132033"/>
    <w:rsid w:val="001332FA"/>
    <w:rsid w:val="0014573B"/>
    <w:rsid w:val="001534B9"/>
    <w:rsid w:val="001557A2"/>
    <w:rsid w:val="00174685"/>
    <w:rsid w:val="00193DA1"/>
    <w:rsid w:val="00196B50"/>
    <w:rsid w:val="001B0868"/>
    <w:rsid w:val="001B1756"/>
    <w:rsid w:val="001B4689"/>
    <w:rsid w:val="001C0878"/>
    <w:rsid w:val="001C64E9"/>
    <w:rsid w:val="001E0BB2"/>
    <w:rsid w:val="001E34C6"/>
    <w:rsid w:val="001F0E45"/>
    <w:rsid w:val="001F36C0"/>
    <w:rsid w:val="00202EB1"/>
    <w:rsid w:val="00207A13"/>
    <w:rsid w:val="00210826"/>
    <w:rsid w:val="00212DAA"/>
    <w:rsid w:val="0021650B"/>
    <w:rsid w:val="00217CCC"/>
    <w:rsid w:val="0022299C"/>
    <w:rsid w:val="00244ED1"/>
    <w:rsid w:val="002521B5"/>
    <w:rsid w:val="002642C3"/>
    <w:rsid w:val="00267921"/>
    <w:rsid w:val="00270F96"/>
    <w:rsid w:val="00273029"/>
    <w:rsid w:val="00275F8B"/>
    <w:rsid w:val="00280090"/>
    <w:rsid w:val="0028343E"/>
    <w:rsid w:val="002A1F3F"/>
    <w:rsid w:val="002A26C4"/>
    <w:rsid w:val="002A514C"/>
    <w:rsid w:val="002A5685"/>
    <w:rsid w:val="002A743E"/>
    <w:rsid w:val="002B25F5"/>
    <w:rsid w:val="002B4C9D"/>
    <w:rsid w:val="002C6327"/>
    <w:rsid w:val="002D17C4"/>
    <w:rsid w:val="002D37E9"/>
    <w:rsid w:val="002D6916"/>
    <w:rsid w:val="002D6B4F"/>
    <w:rsid w:val="002F3162"/>
    <w:rsid w:val="002F41D5"/>
    <w:rsid w:val="00301B67"/>
    <w:rsid w:val="003062EE"/>
    <w:rsid w:val="00311157"/>
    <w:rsid w:val="003156FB"/>
    <w:rsid w:val="00321BC0"/>
    <w:rsid w:val="00322876"/>
    <w:rsid w:val="00326B28"/>
    <w:rsid w:val="0033478E"/>
    <w:rsid w:val="00337B48"/>
    <w:rsid w:val="00337F37"/>
    <w:rsid w:val="00343912"/>
    <w:rsid w:val="00346743"/>
    <w:rsid w:val="00353206"/>
    <w:rsid w:val="00356535"/>
    <w:rsid w:val="00361D53"/>
    <w:rsid w:val="00363800"/>
    <w:rsid w:val="003721C3"/>
    <w:rsid w:val="00372BD1"/>
    <w:rsid w:val="0037427F"/>
    <w:rsid w:val="00375057"/>
    <w:rsid w:val="0037591F"/>
    <w:rsid w:val="00380075"/>
    <w:rsid w:val="00392EC9"/>
    <w:rsid w:val="003B19FE"/>
    <w:rsid w:val="003B4FBE"/>
    <w:rsid w:val="003B5976"/>
    <w:rsid w:val="003B5E74"/>
    <w:rsid w:val="003D10BE"/>
    <w:rsid w:val="003E43BC"/>
    <w:rsid w:val="003E5C5B"/>
    <w:rsid w:val="003F2DBB"/>
    <w:rsid w:val="003F4F54"/>
    <w:rsid w:val="0040115A"/>
    <w:rsid w:val="00402DBC"/>
    <w:rsid w:val="00407B83"/>
    <w:rsid w:val="004156D3"/>
    <w:rsid w:val="00417229"/>
    <w:rsid w:val="00417931"/>
    <w:rsid w:val="0042173A"/>
    <w:rsid w:val="00424FD7"/>
    <w:rsid w:val="00431980"/>
    <w:rsid w:val="00447F4A"/>
    <w:rsid w:val="00474055"/>
    <w:rsid w:val="004858ED"/>
    <w:rsid w:val="004B12FE"/>
    <w:rsid w:val="004B1929"/>
    <w:rsid w:val="004C3E47"/>
    <w:rsid w:val="004E2E09"/>
    <w:rsid w:val="00502F7B"/>
    <w:rsid w:val="00504E9A"/>
    <w:rsid w:val="00505109"/>
    <w:rsid w:val="0051136F"/>
    <w:rsid w:val="00523408"/>
    <w:rsid w:val="0055119E"/>
    <w:rsid w:val="00556B5E"/>
    <w:rsid w:val="005609DB"/>
    <w:rsid w:val="0056612E"/>
    <w:rsid w:val="00575F5F"/>
    <w:rsid w:val="00586EC9"/>
    <w:rsid w:val="0058797C"/>
    <w:rsid w:val="00587F25"/>
    <w:rsid w:val="005A69FB"/>
    <w:rsid w:val="005B710D"/>
    <w:rsid w:val="005C19ED"/>
    <w:rsid w:val="005C4F07"/>
    <w:rsid w:val="005D5513"/>
    <w:rsid w:val="005D6D9E"/>
    <w:rsid w:val="005E4A5A"/>
    <w:rsid w:val="005F1633"/>
    <w:rsid w:val="005F2446"/>
    <w:rsid w:val="005F3A54"/>
    <w:rsid w:val="005F5FFA"/>
    <w:rsid w:val="006054F0"/>
    <w:rsid w:val="00605A7E"/>
    <w:rsid w:val="006218EB"/>
    <w:rsid w:val="00622849"/>
    <w:rsid w:val="00632C0F"/>
    <w:rsid w:val="00637DA8"/>
    <w:rsid w:val="00642A40"/>
    <w:rsid w:val="0064306E"/>
    <w:rsid w:val="00644E8B"/>
    <w:rsid w:val="00661DA6"/>
    <w:rsid w:val="00674B4A"/>
    <w:rsid w:val="00677C59"/>
    <w:rsid w:val="0068460D"/>
    <w:rsid w:val="006B17B0"/>
    <w:rsid w:val="006B5FE0"/>
    <w:rsid w:val="006B6D30"/>
    <w:rsid w:val="006C676C"/>
    <w:rsid w:val="006D33E7"/>
    <w:rsid w:val="006E474C"/>
    <w:rsid w:val="006E75FA"/>
    <w:rsid w:val="006F3D3E"/>
    <w:rsid w:val="006F6FAA"/>
    <w:rsid w:val="007057A5"/>
    <w:rsid w:val="00710E3C"/>
    <w:rsid w:val="00735467"/>
    <w:rsid w:val="00752605"/>
    <w:rsid w:val="0075419E"/>
    <w:rsid w:val="00754F8E"/>
    <w:rsid w:val="0075775D"/>
    <w:rsid w:val="007625A5"/>
    <w:rsid w:val="007647BC"/>
    <w:rsid w:val="007774AB"/>
    <w:rsid w:val="007869A3"/>
    <w:rsid w:val="007A0C41"/>
    <w:rsid w:val="007B34CC"/>
    <w:rsid w:val="007B4496"/>
    <w:rsid w:val="007B5FFA"/>
    <w:rsid w:val="007C2862"/>
    <w:rsid w:val="007D55C7"/>
    <w:rsid w:val="007E4064"/>
    <w:rsid w:val="007F5FCC"/>
    <w:rsid w:val="007F6A45"/>
    <w:rsid w:val="007F6F41"/>
    <w:rsid w:val="00800A51"/>
    <w:rsid w:val="00810CC5"/>
    <w:rsid w:val="00816EFD"/>
    <w:rsid w:val="00822BCD"/>
    <w:rsid w:val="00826672"/>
    <w:rsid w:val="00845630"/>
    <w:rsid w:val="00864F83"/>
    <w:rsid w:val="008650D2"/>
    <w:rsid w:val="008652E0"/>
    <w:rsid w:val="00866C74"/>
    <w:rsid w:val="0087042A"/>
    <w:rsid w:val="00874023"/>
    <w:rsid w:val="008820C0"/>
    <w:rsid w:val="0088476D"/>
    <w:rsid w:val="00884C4C"/>
    <w:rsid w:val="0089023C"/>
    <w:rsid w:val="00891583"/>
    <w:rsid w:val="008A0C02"/>
    <w:rsid w:val="008A50E4"/>
    <w:rsid w:val="008A7206"/>
    <w:rsid w:val="008C03FE"/>
    <w:rsid w:val="008C2964"/>
    <w:rsid w:val="008C4BF2"/>
    <w:rsid w:val="008D0859"/>
    <w:rsid w:val="008D2FB5"/>
    <w:rsid w:val="008F04D4"/>
    <w:rsid w:val="008F2C7F"/>
    <w:rsid w:val="00902C50"/>
    <w:rsid w:val="00903299"/>
    <w:rsid w:val="00903C7D"/>
    <w:rsid w:val="0091284D"/>
    <w:rsid w:val="00922919"/>
    <w:rsid w:val="009419AD"/>
    <w:rsid w:val="00943ADA"/>
    <w:rsid w:val="0094751C"/>
    <w:rsid w:val="00960FF3"/>
    <w:rsid w:val="00966FBB"/>
    <w:rsid w:val="00976B90"/>
    <w:rsid w:val="00986C06"/>
    <w:rsid w:val="009921BF"/>
    <w:rsid w:val="00996417"/>
    <w:rsid w:val="009A0225"/>
    <w:rsid w:val="009A32B7"/>
    <w:rsid w:val="009A38C7"/>
    <w:rsid w:val="009B0039"/>
    <w:rsid w:val="009B2657"/>
    <w:rsid w:val="009B7DBF"/>
    <w:rsid w:val="009C44D3"/>
    <w:rsid w:val="009E0A71"/>
    <w:rsid w:val="009E0AD4"/>
    <w:rsid w:val="009E1592"/>
    <w:rsid w:val="009E4BC9"/>
    <w:rsid w:val="009F41B6"/>
    <w:rsid w:val="009F4D46"/>
    <w:rsid w:val="00A009BA"/>
    <w:rsid w:val="00A02642"/>
    <w:rsid w:val="00A15FA5"/>
    <w:rsid w:val="00A24AE9"/>
    <w:rsid w:val="00A26355"/>
    <w:rsid w:val="00A37CBB"/>
    <w:rsid w:val="00A37E7A"/>
    <w:rsid w:val="00A441E9"/>
    <w:rsid w:val="00A4503A"/>
    <w:rsid w:val="00A5335E"/>
    <w:rsid w:val="00A70070"/>
    <w:rsid w:val="00A71A61"/>
    <w:rsid w:val="00A84C67"/>
    <w:rsid w:val="00A91D91"/>
    <w:rsid w:val="00A9418A"/>
    <w:rsid w:val="00A978DD"/>
    <w:rsid w:val="00A97E9E"/>
    <w:rsid w:val="00AA33EA"/>
    <w:rsid w:val="00AB2802"/>
    <w:rsid w:val="00AB3B9A"/>
    <w:rsid w:val="00AC486B"/>
    <w:rsid w:val="00AE139A"/>
    <w:rsid w:val="00AE5E75"/>
    <w:rsid w:val="00AF3DB5"/>
    <w:rsid w:val="00B05603"/>
    <w:rsid w:val="00B06100"/>
    <w:rsid w:val="00B112A5"/>
    <w:rsid w:val="00B34177"/>
    <w:rsid w:val="00B349F3"/>
    <w:rsid w:val="00B36A89"/>
    <w:rsid w:val="00B375B4"/>
    <w:rsid w:val="00B40E99"/>
    <w:rsid w:val="00B41110"/>
    <w:rsid w:val="00B47075"/>
    <w:rsid w:val="00B55392"/>
    <w:rsid w:val="00B6088F"/>
    <w:rsid w:val="00B657F2"/>
    <w:rsid w:val="00B90F34"/>
    <w:rsid w:val="00B96C8F"/>
    <w:rsid w:val="00B9764D"/>
    <w:rsid w:val="00BA25F8"/>
    <w:rsid w:val="00BA5735"/>
    <w:rsid w:val="00BA6636"/>
    <w:rsid w:val="00BA724D"/>
    <w:rsid w:val="00BB1C9D"/>
    <w:rsid w:val="00BB34B8"/>
    <w:rsid w:val="00BB4792"/>
    <w:rsid w:val="00BC0057"/>
    <w:rsid w:val="00BC1DA5"/>
    <w:rsid w:val="00BC2729"/>
    <w:rsid w:val="00BD6DBC"/>
    <w:rsid w:val="00BE2470"/>
    <w:rsid w:val="00BE4E0E"/>
    <w:rsid w:val="00BE5AE0"/>
    <w:rsid w:val="00C040D7"/>
    <w:rsid w:val="00C050E8"/>
    <w:rsid w:val="00C17CEE"/>
    <w:rsid w:val="00C4770E"/>
    <w:rsid w:val="00C505AF"/>
    <w:rsid w:val="00C51AB5"/>
    <w:rsid w:val="00C639EC"/>
    <w:rsid w:val="00C72F2D"/>
    <w:rsid w:val="00C745D2"/>
    <w:rsid w:val="00CB4E49"/>
    <w:rsid w:val="00CC2166"/>
    <w:rsid w:val="00CC5DA9"/>
    <w:rsid w:val="00CD432D"/>
    <w:rsid w:val="00CD47BC"/>
    <w:rsid w:val="00CE0EC7"/>
    <w:rsid w:val="00CF166F"/>
    <w:rsid w:val="00D03D11"/>
    <w:rsid w:val="00D05969"/>
    <w:rsid w:val="00D12ECE"/>
    <w:rsid w:val="00D459C1"/>
    <w:rsid w:val="00D47707"/>
    <w:rsid w:val="00D50E8B"/>
    <w:rsid w:val="00D51323"/>
    <w:rsid w:val="00D51CA9"/>
    <w:rsid w:val="00D5312C"/>
    <w:rsid w:val="00D5644D"/>
    <w:rsid w:val="00D613CA"/>
    <w:rsid w:val="00D645B2"/>
    <w:rsid w:val="00D65241"/>
    <w:rsid w:val="00D845BD"/>
    <w:rsid w:val="00D85DB2"/>
    <w:rsid w:val="00D872BB"/>
    <w:rsid w:val="00D93E2C"/>
    <w:rsid w:val="00DA37E3"/>
    <w:rsid w:val="00DA43ED"/>
    <w:rsid w:val="00DA5F61"/>
    <w:rsid w:val="00DB21DD"/>
    <w:rsid w:val="00DB534A"/>
    <w:rsid w:val="00DB5BB6"/>
    <w:rsid w:val="00DC67ED"/>
    <w:rsid w:val="00DD41CB"/>
    <w:rsid w:val="00DD5DFB"/>
    <w:rsid w:val="00DE062F"/>
    <w:rsid w:val="00DE171C"/>
    <w:rsid w:val="00DE75EA"/>
    <w:rsid w:val="00DF2B11"/>
    <w:rsid w:val="00E0303C"/>
    <w:rsid w:val="00E102AA"/>
    <w:rsid w:val="00E16AEC"/>
    <w:rsid w:val="00E2711D"/>
    <w:rsid w:val="00E276C7"/>
    <w:rsid w:val="00E33F3B"/>
    <w:rsid w:val="00E43C34"/>
    <w:rsid w:val="00E659AC"/>
    <w:rsid w:val="00E66BD4"/>
    <w:rsid w:val="00E7755D"/>
    <w:rsid w:val="00E81AE9"/>
    <w:rsid w:val="00E86521"/>
    <w:rsid w:val="00E86F43"/>
    <w:rsid w:val="00E87A96"/>
    <w:rsid w:val="00E87C03"/>
    <w:rsid w:val="00E90747"/>
    <w:rsid w:val="00E92C03"/>
    <w:rsid w:val="00E94336"/>
    <w:rsid w:val="00E94E04"/>
    <w:rsid w:val="00EA02B2"/>
    <w:rsid w:val="00EA1D0D"/>
    <w:rsid w:val="00EA445C"/>
    <w:rsid w:val="00EB317A"/>
    <w:rsid w:val="00EB6A7F"/>
    <w:rsid w:val="00EC31CB"/>
    <w:rsid w:val="00ED385E"/>
    <w:rsid w:val="00ED5E92"/>
    <w:rsid w:val="00EE478A"/>
    <w:rsid w:val="00EF2AA2"/>
    <w:rsid w:val="00F1096C"/>
    <w:rsid w:val="00F12E45"/>
    <w:rsid w:val="00F16194"/>
    <w:rsid w:val="00F2048F"/>
    <w:rsid w:val="00F30079"/>
    <w:rsid w:val="00F307D4"/>
    <w:rsid w:val="00F32099"/>
    <w:rsid w:val="00F3452C"/>
    <w:rsid w:val="00F41245"/>
    <w:rsid w:val="00F52B42"/>
    <w:rsid w:val="00F542A4"/>
    <w:rsid w:val="00F54544"/>
    <w:rsid w:val="00F64426"/>
    <w:rsid w:val="00F669F1"/>
    <w:rsid w:val="00F67C09"/>
    <w:rsid w:val="00F70435"/>
    <w:rsid w:val="00F719ED"/>
    <w:rsid w:val="00F72E36"/>
    <w:rsid w:val="00F812F1"/>
    <w:rsid w:val="00F83634"/>
    <w:rsid w:val="00F85D9F"/>
    <w:rsid w:val="00FA55A6"/>
    <w:rsid w:val="00FB4A37"/>
    <w:rsid w:val="00FB6915"/>
    <w:rsid w:val="00FE3149"/>
    <w:rsid w:val="00FF51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sz w:val="24"/>
      <w:lang w:val="pt-BR" w:eastAsia="pt-BR"/>
    </w:rPr>
  </w:style>
  <w:style w:type="paragraph" w:styleId="Ttulo1">
    <w:name w:val="heading 1"/>
    <w:basedOn w:val="Normal"/>
    <w:next w:val="Normal"/>
    <w:qFormat/>
    <w:pPr>
      <w:keepNext/>
      <w:spacing w:before="120" w:after="120"/>
      <w:outlineLvl w:val="0"/>
    </w:pPr>
    <w:rPr>
      <w:b/>
      <w:color w:val="000000"/>
      <w:spacing w:val="-6"/>
      <w:sz w:val="26"/>
    </w:rPr>
  </w:style>
  <w:style w:type="paragraph" w:styleId="Ttulo2">
    <w:name w:val="heading 2"/>
    <w:basedOn w:val="Normal"/>
    <w:next w:val="Normal"/>
    <w:qFormat/>
    <w:pPr>
      <w:keepNext/>
      <w:spacing w:before="120" w:after="120"/>
      <w:outlineLvl w:val="1"/>
    </w:pPr>
    <w:rPr>
      <w:b/>
      <w:color w:val="000000"/>
      <w:spacing w:val="-6"/>
    </w:rPr>
  </w:style>
  <w:style w:type="paragraph" w:styleId="Ttulo3">
    <w:name w:val="heading 3"/>
    <w:basedOn w:val="Normal"/>
    <w:next w:val="Normal"/>
    <w:qFormat/>
    <w:pPr>
      <w:keepNext/>
      <w:spacing w:before="120"/>
      <w:outlineLvl w:val="2"/>
    </w:pPr>
    <w:rPr>
      <w:b/>
      <w:color w:val="000000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spacing w:val="-6"/>
    </w:rPr>
  </w:style>
  <w:style w:type="paragraph" w:styleId="Ttulo5">
    <w:name w:val="heading 5"/>
    <w:basedOn w:val="Normal"/>
    <w:next w:val="Normal"/>
    <w:qFormat/>
    <w:pPr>
      <w:keepNext/>
      <w:outlineLvl w:val="4"/>
    </w:pPr>
  </w:style>
  <w:style w:type="paragraph" w:styleId="Ttulo6">
    <w:name w:val="heading 6"/>
    <w:basedOn w:val="Normal"/>
    <w:next w:val="Normal"/>
    <w:qFormat/>
    <w:pPr>
      <w:keepNext/>
      <w:outlineLvl w:val="5"/>
    </w:pPr>
  </w:style>
  <w:style w:type="paragraph" w:styleId="Ttulo7">
    <w:name w:val="heading 7"/>
    <w:basedOn w:val="Normal"/>
    <w:next w:val="Normal"/>
    <w:qFormat/>
    <w:pPr>
      <w:keepNext/>
      <w:outlineLvl w:val="6"/>
    </w:pPr>
  </w:style>
  <w:style w:type="paragraph" w:styleId="Ttulo8">
    <w:name w:val="heading 8"/>
    <w:basedOn w:val="Normal"/>
    <w:next w:val="Normal"/>
    <w:qFormat/>
    <w:pPr>
      <w:keepNext/>
      <w:outlineLvl w:val="7"/>
    </w:pPr>
  </w:style>
  <w:style w:type="paragraph" w:styleId="Ttulo9">
    <w:name w:val="heading 9"/>
    <w:basedOn w:val="Normal"/>
    <w:next w:val="Normal"/>
    <w:qFormat/>
    <w:pPr>
      <w:keepNext/>
      <w:ind w:left="-88"/>
      <w:outlineLvl w:val="8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semiHidden/>
    <w:rPr>
      <w:color w:val="0000FF"/>
      <w:u w:val="single"/>
    </w:rPr>
  </w:style>
  <w:style w:type="paragraph" w:styleId="Cabealho">
    <w:name w:val="header"/>
    <w:basedOn w:val="Normal"/>
    <w:semiHidden/>
    <w:pPr>
      <w:tabs>
        <w:tab w:val="center" w:pos="4419"/>
        <w:tab w:val="right" w:pos="8838"/>
      </w:tabs>
    </w:pPr>
    <w:rPr>
      <w:b/>
      <w:outline/>
      <w:color w:val="000000"/>
      <w14:textOutline w14:w="9525" w14:cap="flat" w14:cmpd="sng" w14:algn="ctr">
        <w14:solidFill>
          <w14:srgbClr w14:val="000000"/>
        </w14:solidFill>
        <w14:prstDash w14:val="solid"/>
        <w14:round/>
      </w14:textOutline>
      <w14:textFill>
        <w14:noFill/>
      </w14:textFill>
    </w:r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  <w:rPr>
      <w:sz w:val="16"/>
    </w:rPr>
  </w:style>
  <w:style w:type="character" w:styleId="HiperlinkVisitado">
    <w:name w:val="FollowedHyperlink"/>
    <w:semiHidden/>
    <w:rPr>
      <w:color w:val="800080"/>
      <w:u w:val="single"/>
    </w:rPr>
  </w:style>
  <w:style w:type="paragraph" w:styleId="Corpodetexto">
    <w:name w:val="Body Text"/>
    <w:basedOn w:val="Normal"/>
    <w:semiHidden/>
    <w:pPr>
      <w:jc w:val="right"/>
    </w:pPr>
    <w:rPr>
      <w:b/>
      <w:color w:val="008080"/>
    </w:rPr>
  </w:style>
  <w:style w:type="character" w:styleId="Nmerodepgina">
    <w:name w:val="page number"/>
    <w:semiHidden/>
    <w:rPr>
      <w:rFonts w:ascii="Arial" w:hAnsi="Arial"/>
      <w:sz w:val="20"/>
    </w:rPr>
  </w:style>
  <w:style w:type="character" w:styleId="Refdenotaderodap">
    <w:name w:val="footnote reference"/>
    <w:uiPriority w:val="99"/>
    <w:semiHidden/>
    <w:rPr>
      <w:vertAlign w:val="superscript"/>
    </w:rPr>
  </w:style>
  <w:style w:type="paragraph" w:styleId="Corpodetexto2">
    <w:name w:val="Body Text 2"/>
    <w:basedOn w:val="Normal"/>
    <w:semiHidden/>
    <w:pPr>
      <w:spacing w:after="120"/>
      <w:jc w:val="center"/>
    </w:pPr>
    <w:rPr>
      <w:b/>
      <w:sz w:val="28"/>
    </w:rPr>
  </w:style>
  <w:style w:type="paragraph" w:styleId="Recuodecorpodetexto3">
    <w:name w:val="Body Text Indent 3"/>
    <w:basedOn w:val="Normal"/>
    <w:semiHidden/>
    <w:pPr>
      <w:ind w:firstLine="1134"/>
      <w:jc w:val="both"/>
    </w:pPr>
  </w:style>
  <w:style w:type="paragraph" w:styleId="Textodenotaderodap">
    <w:name w:val="footnote text"/>
    <w:basedOn w:val="Normal"/>
    <w:link w:val="TextodenotaderodapChar"/>
    <w:semiHidden/>
    <w:rPr>
      <w:rFonts w:ascii="Times New Roman" w:hAnsi="Times New Roman"/>
      <w:sz w:val="20"/>
    </w:rPr>
  </w:style>
  <w:style w:type="paragraph" w:styleId="Recuodecorpodetexto">
    <w:name w:val="Body Text Indent"/>
    <w:basedOn w:val="Normal"/>
    <w:semiHidden/>
    <w:pPr>
      <w:ind w:firstLine="709"/>
      <w:jc w:val="both"/>
    </w:pPr>
    <w:rPr>
      <w:sz w:val="22"/>
    </w:rPr>
  </w:style>
  <w:style w:type="paragraph" w:styleId="NormalWeb">
    <w:name w:val="Normal (Web)"/>
    <w:basedOn w:val="Normal"/>
    <w:uiPriority w:val="99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Forte">
    <w:name w:val="Strong"/>
    <w:uiPriority w:val="22"/>
    <w:qFormat/>
    <w:rPr>
      <w:b/>
    </w:rPr>
  </w:style>
  <w:style w:type="character" w:customStyle="1" w:styleId="Hiperlink">
    <w:name w:val="Hiperlink"/>
    <w:rPr>
      <w:color w:val="0000FF"/>
      <w:u w:val="single"/>
    </w:rPr>
  </w:style>
  <w:style w:type="paragraph" w:styleId="Subttulo">
    <w:name w:val="Subtitle"/>
    <w:basedOn w:val="Normal"/>
    <w:qFormat/>
    <w:pPr>
      <w:spacing w:before="144" w:after="144"/>
      <w:jc w:val="both"/>
    </w:pPr>
    <w:rPr>
      <w:b/>
      <w:snapToGrid w:val="0"/>
      <w:color w:val="000000"/>
      <w:sz w:val="28"/>
    </w:rPr>
  </w:style>
  <w:style w:type="character" w:customStyle="1" w:styleId="TextodenotaderodapChar">
    <w:name w:val="Texto de nota de rodapé Char"/>
    <w:link w:val="Textodenotaderodap"/>
    <w:semiHidden/>
    <w:rsid w:val="00DA43ED"/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392EC9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link w:val="Recuodecorpodetexto2"/>
    <w:uiPriority w:val="99"/>
    <w:semiHidden/>
    <w:rsid w:val="00392EC9"/>
    <w:rPr>
      <w:rFonts w:ascii="Arial" w:hAnsi="Arial"/>
      <w:sz w:val="24"/>
    </w:rPr>
  </w:style>
  <w:style w:type="paragraph" w:customStyle="1" w:styleId="Corpo">
    <w:name w:val="Corpo"/>
    <w:rsid w:val="005C19ED"/>
    <w:pPr>
      <w:spacing w:before="72"/>
      <w:ind w:firstLine="2160"/>
      <w:jc w:val="both"/>
    </w:pPr>
    <w:rPr>
      <w:rFonts w:ascii="Courier" w:hAnsi="Courier"/>
      <w:snapToGrid w:val="0"/>
      <w:color w:val="000000"/>
      <w:sz w:val="24"/>
      <w:lang w:val="pt-BR" w:eastAsia="pt-BR"/>
    </w:rPr>
  </w:style>
  <w:style w:type="paragraph" w:customStyle="1" w:styleId="Blockquote">
    <w:name w:val="Blockquote"/>
    <w:basedOn w:val="Normal"/>
    <w:rsid w:val="00AA33EA"/>
    <w:pPr>
      <w:spacing w:before="100" w:after="100"/>
      <w:ind w:left="360" w:right="360"/>
    </w:pPr>
    <w:rPr>
      <w:rFonts w:ascii="Times New Roman" w:eastAsia="Calibri" w:hAnsi="Times New Roman"/>
      <w:szCs w:val="24"/>
      <w:lang w:eastAsia="ar-SA"/>
    </w:rPr>
  </w:style>
  <w:style w:type="paragraph" w:customStyle="1" w:styleId="texto1">
    <w:name w:val="texto1"/>
    <w:basedOn w:val="Normal"/>
    <w:rsid w:val="00AA33EA"/>
    <w:pPr>
      <w:spacing w:line="360" w:lineRule="auto"/>
      <w:ind w:firstLine="1418"/>
      <w:jc w:val="both"/>
    </w:pPr>
    <w:rPr>
      <w:rFonts w:ascii="Courier New" w:eastAsia="Calibri" w:hAnsi="Courier New" w:cs="Courier New"/>
      <w:b/>
      <w:bCs/>
      <w:szCs w:val="24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8D2FB5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8D2FB5"/>
    <w:rPr>
      <w:rFonts w:ascii="Tahoma" w:hAnsi="Tahoma" w:cs="Tahoma"/>
      <w:sz w:val="16"/>
      <w:szCs w:val="16"/>
    </w:rPr>
  </w:style>
  <w:style w:type="paragraph" w:customStyle="1" w:styleId="Corponico">
    <w:name w:val="Corpo Único"/>
    <w:rsid w:val="00D845BD"/>
    <w:rPr>
      <w:rFonts w:ascii="Arial" w:hAnsi="Arial"/>
      <w:snapToGrid w:val="0"/>
      <w:color w:val="000000"/>
      <w:sz w:val="24"/>
      <w:lang w:val="pt-BR" w:eastAsia="pt-BR"/>
    </w:rPr>
  </w:style>
  <w:style w:type="character" w:styleId="nfase">
    <w:name w:val="Emphasis"/>
    <w:qFormat/>
    <w:rsid w:val="000A4A09"/>
    <w:rPr>
      <w:i/>
    </w:rPr>
  </w:style>
  <w:style w:type="table" w:styleId="Tabelacomgrade">
    <w:name w:val="Table Grid"/>
    <w:basedOn w:val="Tabelanormal"/>
    <w:uiPriority w:val="59"/>
    <w:rsid w:val="00D564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ceouttxt">
    <w:name w:val="iceouttxt"/>
    <w:rsid w:val="007625A5"/>
  </w:style>
  <w:style w:type="character" w:customStyle="1" w:styleId="apple-converted-space">
    <w:name w:val="apple-converted-space"/>
    <w:rsid w:val="001060AC"/>
  </w:style>
  <w:style w:type="paragraph" w:customStyle="1" w:styleId="Capatexto">
    <w:name w:val="Capa (texto)"/>
    <w:rsid w:val="00D51323"/>
    <w:rPr>
      <w:color w:val="008080"/>
      <w:spacing w:val="-8"/>
      <w:lang w:val="pt-BR" w:eastAsia="pt-BR"/>
    </w:rPr>
  </w:style>
  <w:style w:type="paragraph" w:customStyle="1" w:styleId="TabelaCabeaLinha">
    <w:name w:val="Tabela Cabeça Linha"/>
    <w:rsid w:val="00D51323"/>
    <w:pPr>
      <w:ind w:left="57" w:right="57"/>
    </w:pPr>
    <w:rPr>
      <w:rFonts w:ascii="Arial Narrow" w:hAnsi="Arial Narrow"/>
      <w:b/>
      <w:color w:val="000000"/>
      <w:lang w:val="pt-BR" w:eastAsia="pt-BR"/>
    </w:rPr>
  </w:style>
  <w:style w:type="character" w:customStyle="1" w:styleId="RodapChar">
    <w:name w:val="Rodapé Char"/>
    <w:link w:val="Rodap"/>
    <w:uiPriority w:val="99"/>
    <w:rsid w:val="00B55392"/>
    <w:rPr>
      <w:rFonts w:ascii="Arial" w:hAnsi="Arial"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088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63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conof@camara.gov.br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B9A51A83-2F92-4F23-AF89-090999C77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1215</Words>
  <Characters>6564</Characters>
  <Application>Microsoft Office Word</Application>
  <DocSecurity>4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Câmara dos Deputados</Company>
  <LinksUpToDate>false</LinksUpToDate>
  <CharactersWithSpaces>7764</CharactersWithSpaces>
  <SharedDoc>false</SharedDoc>
  <HLinks>
    <vt:vector size="6" baseType="variant">
      <vt:variant>
        <vt:i4>6815768</vt:i4>
      </vt:variant>
      <vt:variant>
        <vt:i4>0</vt:i4>
      </vt:variant>
      <vt:variant>
        <vt:i4>0</vt:i4>
      </vt:variant>
      <vt:variant>
        <vt:i4>5</vt:i4>
      </vt:variant>
      <vt:variant>
        <vt:lpwstr>mailto:conof@camara.gov.br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P_4242</dc:creator>
  <cp:lastModifiedBy>Maria do Socorro de Lacerda Dantas</cp:lastModifiedBy>
  <cp:revision>2</cp:revision>
  <cp:lastPrinted>2019-03-26T15:24:00Z</cp:lastPrinted>
  <dcterms:created xsi:type="dcterms:W3CDTF">2019-03-26T15:31:00Z</dcterms:created>
  <dcterms:modified xsi:type="dcterms:W3CDTF">2019-03-26T15:31:00Z</dcterms:modified>
</cp:coreProperties>
</file>