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60"/>
        <w:gridCol w:w="2699"/>
        <w:gridCol w:w="826"/>
        <w:gridCol w:w="4111"/>
      </w:tblGrid>
      <w:tr w:rsidR="00B55392" w:rsidTr="00DB534A">
        <w:trPr>
          <w:cantSplit/>
          <w:trHeight w:val="1365"/>
        </w:trPr>
        <w:tc>
          <w:tcPr>
            <w:tcW w:w="2055" w:type="dxa"/>
          </w:tcPr>
          <w:p w:rsidR="00B55392" w:rsidRDefault="0042173A" w:rsidP="00207A13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224280" cy="1049655"/>
                  <wp:effectExtent l="0" t="0" r="0" b="0"/>
                  <wp:docPr id="1" name="Imagem 1" descr="logo conof_sem títu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conof_sem títu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</w:tcPr>
          <w:p w:rsidR="00B55392" w:rsidRDefault="00B55392" w:rsidP="00207A13"/>
        </w:tc>
        <w:tc>
          <w:tcPr>
            <w:tcW w:w="7636" w:type="dxa"/>
            <w:gridSpan w:val="3"/>
            <w:tcBorders>
              <w:top w:val="single" w:sz="18" w:space="0" w:color="008080"/>
              <w:bottom w:val="single" w:sz="18" w:space="0" w:color="008080"/>
            </w:tcBorders>
            <w:vAlign w:val="center"/>
          </w:tcPr>
          <w:p w:rsidR="00B55392" w:rsidRPr="00B55392" w:rsidRDefault="00B55392" w:rsidP="00207A13">
            <w:pPr>
              <w:ind w:right="-70"/>
              <w:rPr>
                <w:rFonts w:ascii="Cambria" w:hAnsi="Cambria"/>
                <w:b/>
                <w:color w:val="008080"/>
                <w:sz w:val="30"/>
                <w:szCs w:val="30"/>
              </w:rPr>
            </w:pPr>
            <w:r w:rsidRPr="00B55392">
              <w:rPr>
                <w:rFonts w:ascii="Cambria" w:hAnsi="Cambria"/>
                <w:b/>
                <w:color w:val="008080"/>
                <w:sz w:val="30"/>
                <w:szCs w:val="30"/>
              </w:rPr>
              <w:t>CÂMARA DOS DEPUTADOS</w:t>
            </w:r>
          </w:p>
          <w:p w:rsidR="00B55392" w:rsidRPr="009E427B" w:rsidRDefault="00B55392" w:rsidP="00207A13">
            <w:pPr>
              <w:ind w:right="-70"/>
              <w:rPr>
                <w:rFonts w:ascii="Garamond" w:hAnsi="Garamond"/>
                <w:b/>
                <w:sz w:val="32"/>
                <w:szCs w:val="32"/>
              </w:rPr>
            </w:pPr>
            <w:r w:rsidRPr="00B55392">
              <w:rPr>
                <w:rFonts w:ascii="Cambria" w:hAnsi="Cambria"/>
                <w:b/>
                <w:color w:val="008080"/>
                <w:sz w:val="30"/>
                <w:szCs w:val="30"/>
              </w:rPr>
              <w:t>Consultoria de Orçamento e Fiscalização Financeira</w:t>
            </w:r>
          </w:p>
        </w:tc>
      </w:tr>
      <w:tr w:rsidR="0042173A" w:rsidRPr="0042173A" w:rsidTr="007D55C7">
        <w:trPr>
          <w:cantSplit/>
          <w:trHeight w:val="7900"/>
        </w:trPr>
        <w:tc>
          <w:tcPr>
            <w:tcW w:w="9851" w:type="dxa"/>
            <w:gridSpan w:val="5"/>
            <w:textDirection w:val="btLr"/>
            <w:vAlign w:val="bottom"/>
          </w:tcPr>
          <w:p w:rsidR="00B55392" w:rsidRPr="0042173A" w:rsidRDefault="000324EC" w:rsidP="00424FD7">
            <w:pPr>
              <w:spacing w:after="200" w:line="276" w:lineRule="auto"/>
              <w:ind w:left="113" w:right="113"/>
              <w:jc w:val="center"/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2173A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Nota</w:t>
            </w:r>
            <w:r w:rsidR="00B55392" w:rsidRPr="0042173A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Técnic</w:t>
            </w:r>
            <w:r w:rsidRPr="0042173A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a</w:t>
            </w:r>
            <w:r w:rsidR="00B55392" w:rsidRPr="0042173A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n.º </w:t>
            </w:r>
            <w:r w:rsidR="00424FD7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09 </w:t>
            </w:r>
            <w:r w:rsidRPr="0042173A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e 201</w:t>
            </w:r>
            <w:r w:rsidR="003E43BC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</w:p>
        </w:tc>
      </w:tr>
      <w:tr w:rsidR="00B55392" w:rsidRPr="00207A13" w:rsidTr="00DB534A">
        <w:trPr>
          <w:cantSplit/>
          <w:trHeight w:val="2196"/>
        </w:trPr>
        <w:tc>
          <w:tcPr>
            <w:tcW w:w="5740" w:type="dxa"/>
            <w:gridSpan w:val="4"/>
            <w:tcBorders>
              <w:top w:val="single" w:sz="18" w:space="0" w:color="008080"/>
              <w:bottom w:val="single" w:sz="18" w:space="0" w:color="008080"/>
            </w:tcBorders>
            <w:vAlign w:val="center"/>
          </w:tcPr>
          <w:p w:rsidR="00B55392" w:rsidRPr="00207A13" w:rsidRDefault="00D03D11" w:rsidP="003E43BC">
            <w:pPr>
              <w:ind w:right="497"/>
              <w:rPr>
                <w:rFonts w:ascii="Calibri" w:hAnsi="Calibri" w:cs="Calibri"/>
                <w:b/>
                <w:i/>
                <w:color w:val="008080"/>
                <w:sz w:val="30"/>
                <w:szCs w:val="30"/>
              </w:rPr>
            </w:pPr>
            <w:r w:rsidRPr="00DB534A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 xml:space="preserve">Subsídios acerca da adequação orçamentária e financeira da Medida Provisória nº </w:t>
            </w:r>
            <w:r w:rsidR="001B1756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87</w:t>
            </w:r>
            <w:r w:rsidR="003E43BC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4</w:t>
            </w:r>
            <w:r w:rsidRPr="00DB534A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 xml:space="preserve">, de </w:t>
            </w:r>
            <w:r w:rsidR="003E43BC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1</w:t>
            </w:r>
            <w:r w:rsidR="001B1756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2</w:t>
            </w:r>
            <w:r w:rsidR="00B657F2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 xml:space="preserve"> de </w:t>
            </w:r>
            <w:r w:rsidR="003E43BC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març</w:t>
            </w:r>
            <w:r w:rsidR="001B1756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o</w:t>
            </w:r>
            <w:r w:rsidRPr="00DB534A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 xml:space="preserve"> de 201</w:t>
            </w:r>
            <w:r w:rsidR="003E43BC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9</w:t>
            </w:r>
            <w:r w:rsidR="00424FD7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.</w:t>
            </w:r>
          </w:p>
        </w:tc>
        <w:tc>
          <w:tcPr>
            <w:tcW w:w="4111" w:type="dxa"/>
            <w:tcBorders>
              <w:top w:val="single" w:sz="18" w:space="0" w:color="008080"/>
              <w:bottom w:val="single" w:sz="18" w:space="0" w:color="008080"/>
            </w:tcBorders>
            <w:vAlign w:val="center"/>
          </w:tcPr>
          <w:p w:rsidR="00587F25" w:rsidRPr="00132033" w:rsidRDefault="003E43BC" w:rsidP="00587F25">
            <w:pPr>
              <w:ind w:left="214"/>
              <w:jc w:val="center"/>
              <w:rPr>
                <w:rFonts w:ascii="Calibri" w:hAnsi="Calibri" w:cs="Calibri"/>
                <w:b/>
                <w:color w:val="00808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8080"/>
                <w:sz w:val="28"/>
                <w:szCs w:val="28"/>
              </w:rPr>
              <w:t>Júlia Marinho Rodrigues</w:t>
            </w:r>
          </w:p>
          <w:p w:rsidR="00B55392" w:rsidRPr="00132033" w:rsidRDefault="00B55392" w:rsidP="00587F25">
            <w:pPr>
              <w:ind w:left="214"/>
              <w:jc w:val="center"/>
              <w:rPr>
                <w:rFonts w:ascii="Calibri" w:hAnsi="Calibri" w:cs="Calibri"/>
                <w:b/>
                <w:color w:val="008080"/>
                <w:szCs w:val="24"/>
              </w:rPr>
            </w:pPr>
            <w:r w:rsidRPr="00132033">
              <w:rPr>
                <w:rFonts w:ascii="Calibri" w:hAnsi="Calibri" w:cs="Calibri"/>
                <w:b/>
                <w:color w:val="008080"/>
                <w:szCs w:val="24"/>
              </w:rPr>
              <w:t>Co</w:t>
            </w:r>
            <w:r w:rsidR="002521B5" w:rsidRPr="00132033">
              <w:rPr>
                <w:rFonts w:ascii="Calibri" w:hAnsi="Calibri" w:cs="Calibri"/>
                <w:b/>
                <w:color w:val="008080"/>
                <w:szCs w:val="24"/>
              </w:rPr>
              <w:t>nsultor de Orçamento</w:t>
            </w:r>
            <w:r w:rsidR="00587F25" w:rsidRPr="00132033">
              <w:rPr>
                <w:rFonts w:ascii="Calibri" w:hAnsi="Calibri" w:cs="Calibri"/>
                <w:b/>
                <w:color w:val="008080"/>
                <w:szCs w:val="24"/>
              </w:rPr>
              <w:t xml:space="preserve"> e Fiscalização Financeira</w:t>
            </w:r>
          </w:p>
        </w:tc>
      </w:tr>
      <w:tr w:rsidR="001E0BB2" w:rsidRPr="00207A13" w:rsidTr="00DB534A">
        <w:trPr>
          <w:cantSplit/>
          <w:trHeight w:val="546"/>
        </w:trPr>
        <w:tc>
          <w:tcPr>
            <w:tcW w:w="4914" w:type="dxa"/>
            <w:gridSpan w:val="3"/>
          </w:tcPr>
          <w:p w:rsidR="001E0BB2" w:rsidRPr="00207A13" w:rsidRDefault="001E0BB2" w:rsidP="001E0BB2">
            <w:pPr>
              <w:spacing w:after="120"/>
              <w:rPr>
                <w:rFonts w:ascii="Calibri" w:hAnsi="Calibri" w:cs="Calibri"/>
                <w:b/>
                <w:color w:val="008080"/>
              </w:rPr>
            </w:pPr>
            <w:r w:rsidRPr="00207A13">
              <w:rPr>
                <w:rFonts w:ascii="Calibri" w:hAnsi="Calibri" w:cs="Calibri"/>
                <w:b/>
                <w:color w:val="008080"/>
              </w:rPr>
              <w:t xml:space="preserve">Endereço na Internet: </w:t>
            </w:r>
            <w:r w:rsidRPr="001E0BB2">
              <w:rPr>
                <w:rFonts w:ascii="Calibri" w:hAnsi="Calibri" w:cs="Calibri"/>
                <w:b/>
                <w:color w:val="008080"/>
              </w:rPr>
              <w:t>http://www2.camara.leg.br/a-camara/estruturaadm/conof</w:t>
            </w:r>
          </w:p>
          <w:p w:rsidR="001E0BB2" w:rsidRPr="00207A13" w:rsidRDefault="001E0BB2" w:rsidP="001E0BB2">
            <w:pPr>
              <w:rPr>
                <w:rFonts w:ascii="Calibri" w:hAnsi="Calibri" w:cs="Calibri"/>
                <w:b/>
                <w:color w:val="008080"/>
              </w:rPr>
            </w:pPr>
            <w:proofErr w:type="gramStart"/>
            <w:r w:rsidRPr="00207A13">
              <w:rPr>
                <w:rFonts w:ascii="Calibri" w:hAnsi="Calibri" w:cs="Calibri"/>
                <w:b/>
                <w:color w:val="008080"/>
              </w:rPr>
              <w:t>e-mail</w:t>
            </w:r>
            <w:proofErr w:type="gramEnd"/>
            <w:r w:rsidRPr="00207A13">
              <w:rPr>
                <w:rFonts w:ascii="Calibri" w:hAnsi="Calibri" w:cs="Calibri"/>
                <w:b/>
                <w:color w:val="008080"/>
              </w:rPr>
              <w:t xml:space="preserve">: </w:t>
            </w:r>
            <w:hyperlink r:id="rId10" w:history="1">
              <w:r w:rsidRPr="00207A13">
                <w:rPr>
                  <w:rStyle w:val="Hyperlink"/>
                  <w:rFonts w:ascii="Calibri" w:hAnsi="Calibri" w:cs="Calibri"/>
                  <w:color w:val="008080"/>
                </w:rPr>
                <w:t>conof@camara.gov.br</w:t>
              </w:r>
            </w:hyperlink>
          </w:p>
        </w:tc>
        <w:tc>
          <w:tcPr>
            <w:tcW w:w="4937" w:type="dxa"/>
            <w:gridSpan w:val="2"/>
          </w:tcPr>
          <w:p w:rsidR="001E0BB2" w:rsidRPr="00207A13" w:rsidRDefault="001E0BB2" w:rsidP="00207A13">
            <w:pPr>
              <w:jc w:val="right"/>
              <w:rPr>
                <w:rFonts w:ascii="Calibri" w:hAnsi="Calibri" w:cs="Calibri"/>
                <w:b/>
                <w:color w:val="008080"/>
              </w:rPr>
            </w:pPr>
          </w:p>
          <w:p w:rsidR="001E0BB2" w:rsidRPr="00207A13" w:rsidRDefault="001E0BB2" w:rsidP="00207A13">
            <w:pPr>
              <w:jc w:val="right"/>
              <w:rPr>
                <w:rFonts w:ascii="Calibri" w:hAnsi="Calibri" w:cs="Calibri"/>
                <w:b/>
                <w:color w:val="008080"/>
              </w:rPr>
            </w:pPr>
          </w:p>
          <w:p w:rsidR="001E0BB2" w:rsidRPr="00207A13" w:rsidRDefault="003E43BC" w:rsidP="0033478E">
            <w:pPr>
              <w:ind w:right="1206"/>
              <w:jc w:val="right"/>
              <w:rPr>
                <w:rFonts w:ascii="Calibri" w:hAnsi="Calibri" w:cs="Calibri"/>
                <w:b/>
                <w:color w:val="008080"/>
              </w:rPr>
            </w:pPr>
            <w:r>
              <w:rPr>
                <w:rFonts w:ascii="Calibri" w:hAnsi="Calibri" w:cs="Calibri"/>
                <w:b/>
                <w:color w:val="008080"/>
              </w:rPr>
              <w:t>Març</w:t>
            </w:r>
            <w:r w:rsidR="001B1756">
              <w:rPr>
                <w:rFonts w:ascii="Calibri" w:hAnsi="Calibri" w:cs="Calibri"/>
                <w:b/>
                <w:color w:val="008080"/>
              </w:rPr>
              <w:t>o</w:t>
            </w:r>
            <w:r w:rsidR="00B657F2">
              <w:rPr>
                <w:rFonts w:ascii="Calibri" w:hAnsi="Calibri" w:cs="Calibri"/>
                <w:b/>
                <w:color w:val="008080"/>
              </w:rPr>
              <w:t xml:space="preserve"> de 201</w:t>
            </w:r>
            <w:r>
              <w:rPr>
                <w:rFonts w:ascii="Calibri" w:hAnsi="Calibri" w:cs="Calibri"/>
                <w:b/>
                <w:color w:val="008080"/>
              </w:rPr>
              <w:t>9</w:t>
            </w:r>
          </w:p>
        </w:tc>
      </w:tr>
    </w:tbl>
    <w:p w:rsidR="001E0BB2" w:rsidRPr="00207A13" w:rsidRDefault="001E0BB2" w:rsidP="00B55392">
      <w:pPr>
        <w:ind w:right="-70"/>
        <w:jc w:val="both"/>
        <w:rPr>
          <w:rFonts w:ascii="Calibri" w:hAnsi="Calibri" w:cs="Calibri"/>
          <w:b/>
          <w:color w:val="008080"/>
        </w:rPr>
      </w:pPr>
    </w:p>
    <w:p w:rsidR="00EF2AA2" w:rsidRDefault="00B55392" w:rsidP="007D55C7">
      <w:pPr>
        <w:ind w:right="-70"/>
        <w:jc w:val="both"/>
        <w:rPr>
          <w:rFonts w:ascii="Times New Roman" w:hAnsi="Times New Roman"/>
          <w:b/>
          <w:sz w:val="28"/>
          <w:szCs w:val="28"/>
        </w:rPr>
      </w:pPr>
      <w:r w:rsidRPr="00207A13">
        <w:rPr>
          <w:rFonts w:ascii="Calibri" w:hAnsi="Calibri" w:cs="Calibri"/>
          <w:b/>
          <w:color w:val="008080"/>
        </w:rPr>
        <w:t>Este trabalho é de inteira responsabilidade de seu autor, não representando necessariamente a opinião da Câmara dos Deputados.</w:t>
      </w:r>
      <w:proofErr w:type="gramStart"/>
      <w:r w:rsidR="001E0BB2">
        <w:rPr>
          <w:rFonts w:ascii="Times New Roman" w:hAnsi="Times New Roman"/>
          <w:b/>
          <w:sz w:val="28"/>
          <w:szCs w:val="28"/>
        </w:rPr>
        <w:br w:type="page"/>
      </w:r>
      <w:proofErr w:type="gramEnd"/>
    </w:p>
    <w:p w:rsidR="007D55C7" w:rsidRDefault="007D55C7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</w:p>
    <w:p w:rsidR="007774AB" w:rsidRDefault="007774AB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</w:p>
    <w:p w:rsidR="00DA37E3" w:rsidRPr="004156D3" w:rsidRDefault="00DA37E3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</w:p>
    <w:p w:rsidR="00337F37" w:rsidRPr="004156D3" w:rsidRDefault="00337F37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</w:p>
    <w:p w:rsidR="00D51323" w:rsidRPr="004156D3" w:rsidRDefault="00D51323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  <w:r w:rsidRPr="004156D3">
        <w:rPr>
          <w:rFonts w:cs="Arial"/>
          <w:b/>
          <w:sz w:val="22"/>
          <w:szCs w:val="22"/>
        </w:rPr>
        <w:t xml:space="preserve">NOTA TÉCNICA Nº </w:t>
      </w:r>
      <w:r w:rsidR="00424FD7">
        <w:rPr>
          <w:rFonts w:cs="Arial"/>
          <w:b/>
          <w:sz w:val="22"/>
          <w:szCs w:val="22"/>
        </w:rPr>
        <w:t>09</w:t>
      </w:r>
      <w:r w:rsidR="00B657F2" w:rsidRPr="004156D3">
        <w:rPr>
          <w:rFonts w:cs="Arial"/>
          <w:b/>
          <w:sz w:val="22"/>
          <w:szCs w:val="22"/>
        </w:rPr>
        <w:t>, de 201</w:t>
      </w:r>
      <w:r w:rsidR="00AE139A">
        <w:rPr>
          <w:rFonts w:cs="Arial"/>
          <w:b/>
          <w:sz w:val="22"/>
          <w:szCs w:val="22"/>
        </w:rPr>
        <w:t>9</w:t>
      </w:r>
    </w:p>
    <w:p w:rsidR="00B657F2" w:rsidRPr="004156D3" w:rsidRDefault="00B657F2" w:rsidP="00B657F2">
      <w:pPr>
        <w:keepNext/>
        <w:ind w:left="426"/>
        <w:jc w:val="both"/>
        <w:outlineLvl w:val="0"/>
        <w:rPr>
          <w:rFonts w:cs="Arial"/>
          <w:b/>
          <w:sz w:val="22"/>
          <w:szCs w:val="22"/>
        </w:rPr>
      </w:pPr>
    </w:p>
    <w:p w:rsidR="00B657F2" w:rsidRPr="0064306E" w:rsidRDefault="00B657F2" w:rsidP="002A514C">
      <w:pPr>
        <w:keepNext/>
        <w:ind w:left="5387"/>
        <w:jc w:val="both"/>
        <w:outlineLvl w:val="0"/>
        <w:rPr>
          <w:rFonts w:cs="Arial"/>
          <w:b/>
          <w:sz w:val="22"/>
          <w:szCs w:val="22"/>
        </w:rPr>
      </w:pPr>
      <w:r w:rsidRPr="004156D3">
        <w:rPr>
          <w:rFonts w:cs="Arial"/>
          <w:b/>
          <w:sz w:val="22"/>
          <w:szCs w:val="22"/>
        </w:rPr>
        <w:t>Subsídios para a apreciação da</w:t>
      </w:r>
      <w:r w:rsidRPr="004156D3">
        <w:rPr>
          <w:rFonts w:cs="Arial"/>
          <w:sz w:val="22"/>
          <w:szCs w:val="22"/>
        </w:rPr>
        <w:t xml:space="preserve"> </w:t>
      </w:r>
      <w:r w:rsidR="00EA02B2" w:rsidRPr="004156D3">
        <w:rPr>
          <w:rFonts w:cs="Arial"/>
          <w:b/>
          <w:sz w:val="22"/>
          <w:szCs w:val="22"/>
        </w:rPr>
        <w:t>Medida Provisória n.</w:t>
      </w:r>
      <w:r w:rsidR="00EA02B2" w:rsidRPr="0064306E">
        <w:rPr>
          <w:rFonts w:cs="Arial"/>
          <w:b/>
          <w:sz w:val="22"/>
          <w:szCs w:val="22"/>
        </w:rPr>
        <w:t xml:space="preserve">º </w:t>
      </w:r>
      <w:r w:rsidR="0033478E" w:rsidRPr="0064306E">
        <w:rPr>
          <w:rFonts w:cs="Arial"/>
          <w:b/>
          <w:sz w:val="22"/>
          <w:szCs w:val="22"/>
        </w:rPr>
        <w:t>8</w:t>
      </w:r>
      <w:r w:rsidR="003E43BC">
        <w:rPr>
          <w:rFonts w:cs="Arial"/>
          <w:b/>
          <w:sz w:val="22"/>
          <w:szCs w:val="22"/>
        </w:rPr>
        <w:t>74</w:t>
      </w:r>
      <w:r w:rsidRPr="0064306E">
        <w:rPr>
          <w:rFonts w:cs="Arial"/>
          <w:b/>
          <w:sz w:val="22"/>
          <w:szCs w:val="22"/>
        </w:rPr>
        <w:t xml:space="preserve">, de </w:t>
      </w:r>
      <w:r w:rsidR="003E43BC">
        <w:rPr>
          <w:rFonts w:cs="Arial"/>
          <w:b/>
          <w:sz w:val="22"/>
          <w:szCs w:val="22"/>
        </w:rPr>
        <w:t>12</w:t>
      </w:r>
      <w:r w:rsidRPr="0064306E">
        <w:rPr>
          <w:rFonts w:cs="Arial"/>
          <w:b/>
          <w:sz w:val="22"/>
          <w:szCs w:val="22"/>
        </w:rPr>
        <w:t xml:space="preserve"> de </w:t>
      </w:r>
      <w:r w:rsidR="003E43BC">
        <w:rPr>
          <w:rFonts w:cs="Arial"/>
          <w:b/>
          <w:sz w:val="22"/>
          <w:szCs w:val="22"/>
        </w:rPr>
        <w:t>març</w:t>
      </w:r>
      <w:r w:rsidR="001B1756">
        <w:rPr>
          <w:rFonts w:cs="Arial"/>
          <w:b/>
          <w:sz w:val="22"/>
          <w:szCs w:val="22"/>
        </w:rPr>
        <w:t>o</w:t>
      </w:r>
      <w:r w:rsidRPr="0064306E">
        <w:rPr>
          <w:rFonts w:cs="Arial"/>
          <w:b/>
          <w:sz w:val="22"/>
          <w:szCs w:val="22"/>
        </w:rPr>
        <w:t xml:space="preserve"> de 201</w:t>
      </w:r>
      <w:r w:rsidR="003E43BC">
        <w:rPr>
          <w:rFonts w:cs="Arial"/>
          <w:b/>
          <w:sz w:val="22"/>
          <w:szCs w:val="22"/>
        </w:rPr>
        <w:t>9</w:t>
      </w:r>
      <w:r w:rsidRPr="0064306E">
        <w:rPr>
          <w:rFonts w:cs="Arial"/>
          <w:b/>
          <w:sz w:val="22"/>
          <w:szCs w:val="22"/>
        </w:rPr>
        <w:t>, quanto à adequação orçamentária e financeira.</w:t>
      </w:r>
    </w:p>
    <w:p w:rsidR="00B657F2" w:rsidRDefault="00B657F2" w:rsidP="00B657F2">
      <w:pPr>
        <w:ind w:left="426"/>
        <w:jc w:val="both"/>
        <w:rPr>
          <w:rFonts w:cs="Arial"/>
          <w:sz w:val="22"/>
          <w:szCs w:val="22"/>
        </w:rPr>
      </w:pPr>
    </w:p>
    <w:p w:rsidR="007D55C7" w:rsidRPr="0064306E" w:rsidRDefault="007D55C7" w:rsidP="00B657F2">
      <w:pPr>
        <w:ind w:left="426"/>
        <w:jc w:val="both"/>
        <w:rPr>
          <w:rFonts w:cs="Arial"/>
          <w:sz w:val="22"/>
          <w:szCs w:val="22"/>
        </w:rPr>
      </w:pPr>
    </w:p>
    <w:p w:rsidR="006C676C" w:rsidRDefault="006C676C" w:rsidP="00B657F2">
      <w:pPr>
        <w:ind w:left="426"/>
        <w:jc w:val="both"/>
        <w:rPr>
          <w:rFonts w:ascii="Times New Roman" w:hAnsi="Times New Roman"/>
        </w:rPr>
      </w:pPr>
    </w:p>
    <w:p w:rsidR="00EA02B2" w:rsidRDefault="00EA02B2" w:rsidP="0037591F">
      <w:pPr>
        <w:pStyle w:val="Corpodetexto"/>
        <w:spacing w:after="240"/>
        <w:jc w:val="left"/>
        <w:rPr>
          <w:rFonts w:cs="Arial"/>
          <w:color w:val="000000"/>
          <w:szCs w:val="24"/>
        </w:rPr>
      </w:pPr>
      <w:r w:rsidRPr="00EA02B2">
        <w:rPr>
          <w:rFonts w:cs="Arial"/>
          <w:color w:val="000000"/>
          <w:szCs w:val="24"/>
        </w:rPr>
        <w:t>I – INTRODUÇÃO</w:t>
      </w:r>
    </w:p>
    <w:p w:rsidR="00EA02B2" w:rsidRPr="001B1756" w:rsidRDefault="00EA02B2" w:rsidP="00EA02B2">
      <w:pPr>
        <w:pStyle w:val="Corpodetexto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1B1756">
        <w:rPr>
          <w:rFonts w:cs="Arial"/>
          <w:b w:val="0"/>
          <w:color w:val="auto"/>
          <w:sz w:val="22"/>
          <w:szCs w:val="22"/>
        </w:rPr>
        <w:t xml:space="preserve">Nos termos do art. 62 da Constituição Federal, </w:t>
      </w:r>
      <w:r w:rsidR="009B7DBF" w:rsidRPr="001B1756">
        <w:rPr>
          <w:rFonts w:cs="Arial"/>
          <w:b w:val="0"/>
          <w:color w:val="auto"/>
          <w:sz w:val="22"/>
          <w:szCs w:val="22"/>
        </w:rPr>
        <w:t>o</w:t>
      </w:r>
      <w:r w:rsidRPr="001B1756">
        <w:rPr>
          <w:rFonts w:cs="Arial"/>
          <w:b w:val="0"/>
          <w:color w:val="auto"/>
          <w:sz w:val="22"/>
          <w:szCs w:val="22"/>
        </w:rPr>
        <w:t xml:space="preserve"> Presidente da República submete ao Congresso Nacional a Medida </w:t>
      </w:r>
      <w:r w:rsidR="00943ADA" w:rsidRPr="001B1756">
        <w:rPr>
          <w:rFonts w:cs="Arial"/>
          <w:b w:val="0"/>
          <w:color w:val="auto"/>
          <w:sz w:val="22"/>
          <w:szCs w:val="22"/>
        </w:rPr>
        <w:t xml:space="preserve">Provisória nº </w:t>
      </w:r>
      <w:r w:rsidR="0033478E" w:rsidRPr="001B1756">
        <w:rPr>
          <w:rFonts w:cs="Arial"/>
          <w:b w:val="0"/>
          <w:color w:val="auto"/>
          <w:sz w:val="22"/>
          <w:szCs w:val="22"/>
        </w:rPr>
        <w:t>8</w:t>
      </w:r>
      <w:r w:rsidR="001B1756" w:rsidRPr="001B1756">
        <w:rPr>
          <w:rFonts w:cs="Arial"/>
          <w:b w:val="0"/>
          <w:color w:val="auto"/>
          <w:sz w:val="22"/>
          <w:szCs w:val="22"/>
        </w:rPr>
        <w:t>7</w:t>
      </w:r>
      <w:r w:rsidR="00826672">
        <w:rPr>
          <w:rFonts w:cs="Arial"/>
          <w:b w:val="0"/>
          <w:color w:val="auto"/>
          <w:sz w:val="22"/>
          <w:szCs w:val="22"/>
        </w:rPr>
        <w:t>4</w:t>
      </w:r>
      <w:r w:rsidRPr="001B1756">
        <w:rPr>
          <w:rFonts w:cs="Arial"/>
          <w:b w:val="0"/>
          <w:color w:val="auto"/>
          <w:sz w:val="22"/>
          <w:szCs w:val="22"/>
        </w:rPr>
        <w:t xml:space="preserve">, de </w:t>
      </w:r>
      <w:r w:rsidR="00826672">
        <w:rPr>
          <w:rFonts w:cs="Arial"/>
          <w:b w:val="0"/>
          <w:color w:val="auto"/>
          <w:sz w:val="22"/>
          <w:szCs w:val="22"/>
        </w:rPr>
        <w:t>1</w:t>
      </w:r>
      <w:r w:rsidR="001B1756" w:rsidRPr="001B1756">
        <w:rPr>
          <w:rFonts w:cs="Arial"/>
          <w:b w:val="0"/>
          <w:color w:val="auto"/>
          <w:sz w:val="22"/>
          <w:szCs w:val="22"/>
        </w:rPr>
        <w:t>2</w:t>
      </w:r>
      <w:r w:rsidRPr="001B1756">
        <w:rPr>
          <w:rFonts w:cs="Arial"/>
          <w:b w:val="0"/>
          <w:color w:val="auto"/>
          <w:sz w:val="22"/>
          <w:szCs w:val="22"/>
        </w:rPr>
        <w:t xml:space="preserve"> de </w:t>
      </w:r>
      <w:r w:rsidR="00826672">
        <w:rPr>
          <w:rFonts w:cs="Arial"/>
          <w:b w:val="0"/>
          <w:color w:val="auto"/>
          <w:sz w:val="22"/>
          <w:szCs w:val="22"/>
        </w:rPr>
        <w:t>març</w:t>
      </w:r>
      <w:r w:rsidR="001B1756" w:rsidRPr="001B1756">
        <w:rPr>
          <w:rFonts w:cs="Arial"/>
          <w:b w:val="0"/>
          <w:color w:val="auto"/>
          <w:sz w:val="22"/>
          <w:szCs w:val="22"/>
        </w:rPr>
        <w:t>o</w:t>
      </w:r>
      <w:r w:rsidRPr="001B1756">
        <w:rPr>
          <w:rFonts w:cs="Arial"/>
          <w:b w:val="0"/>
          <w:color w:val="auto"/>
          <w:sz w:val="22"/>
          <w:szCs w:val="22"/>
        </w:rPr>
        <w:t xml:space="preserve"> de 201</w:t>
      </w:r>
      <w:r w:rsidR="00826672">
        <w:rPr>
          <w:rFonts w:cs="Arial"/>
          <w:b w:val="0"/>
          <w:color w:val="auto"/>
          <w:sz w:val="22"/>
          <w:szCs w:val="22"/>
        </w:rPr>
        <w:t>9</w:t>
      </w:r>
      <w:r w:rsidRPr="001B1756">
        <w:rPr>
          <w:rFonts w:cs="Arial"/>
          <w:b w:val="0"/>
          <w:color w:val="auto"/>
          <w:sz w:val="22"/>
          <w:szCs w:val="22"/>
        </w:rPr>
        <w:t>, que “</w:t>
      </w:r>
      <w:r w:rsidR="001B1756" w:rsidRPr="001B1756">
        <w:rPr>
          <w:rFonts w:cs="Arial"/>
          <w:b w:val="0"/>
          <w:color w:val="auto"/>
          <w:sz w:val="22"/>
          <w:szCs w:val="22"/>
        </w:rPr>
        <w:t xml:space="preserve">Abre crédito extraordinário, em favor do Ministério da </w:t>
      </w:r>
      <w:r w:rsidR="00826672">
        <w:rPr>
          <w:rFonts w:cs="Arial"/>
          <w:b w:val="0"/>
          <w:color w:val="auto"/>
          <w:sz w:val="22"/>
          <w:szCs w:val="22"/>
        </w:rPr>
        <w:t>Cidadania, no valor de R$ 1</w:t>
      </w:r>
      <w:r w:rsidR="001B1756" w:rsidRPr="001B1756">
        <w:rPr>
          <w:rFonts w:cs="Arial"/>
          <w:b w:val="0"/>
          <w:color w:val="auto"/>
          <w:sz w:val="22"/>
          <w:szCs w:val="22"/>
        </w:rPr>
        <w:t>.</w:t>
      </w:r>
      <w:r w:rsidR="00826672">
        <w:rPr>
          <w:rFonts w:cs="Arial"/>
          <w:b w:val="0"/>
          <w:color w:val="auto"/>
          <w:sz w:val="22"/>
          <w:szCs w:val="22"/>
        </w:rPr>
        <w:t>368</w:t>
      </w:r>
      <w:r w:rsidR="001B1756" w:rsidRPr="001B1756">
        <w:rPr>
          <w:rFonts w:cs="Arial"/>
          <w:b w:val="0"/>
          <w:color w:val="auto"/>
          <w:sz w:val="22"/>
          <w:szCs w:val="22"/>
        </w:rPr>
        <w:t>.</w:t>
      </w:r>
      <w:r w:rsidR="00826672">
        <w:rPr>
          <w:rFonts w:cs="Arial"/>
          <w:b w:val="0"/>
          <w:color w:val="auto"/>
          <w:sz w:val="22"/>
          <w:szCs w:val="22"/>
        </w:rPr>
        <w:t>6</w:t>
      </w:r>
      <w:r w:rsidR="001B1756" w:rsidRPr="001B1756">
        <w:rPr>
          <w:rFonts w:cs="Arial"/>
          <w:b w:val="0"/>
          <w:color w:val="auto"/>
          <w:sz w:val="22"/>
          <w:szCs w:val="22"/>
        </w:rPr>
        <w:t>00,00, para os fins que especifica</w:t>
      </w:r>
      <w:r w:rsidRPr="001B1756">
        <w:rPr>
          <w:rFonts w:cs="Arial"/>
          <w:b w:val="0"/>
          <w:color w:val="auto"/>
          <w:sz w:val="22"/>
          <w:szCs w:val="22"/>
        </w:rPr>
        <w:t>.</w:t>
      </w:r>
      <w:proofErr w:type="gramStart"/>
      <w:r w:rsidRPr="001B1756">
        <w:rPr>
          <w:rFonts w:cs="Arial"/>
          <w:b w:val="0"/>
          <w:color w:val="auto"/>
          <w:sz w:val="22"/>
          <w:szCs w:val="22"/>
        </w:rPr>
        <w:t>”</w:t>
      </w:r>
      <w:proofErr w:type="gramEnd"/>
    </w:p>
    <w:p w:rsidR="00EA02B2" w:rsidRPr="001B1756" w:rsidRDefault="00EA02B2" w:rsidP="00EA02B2">
      <w:pPr>
        <w:ind w:firstLine="1134"/>
        <w:jc w:val="both"/>
        <w:rPr>
          <w:rFonts w:cs="Arial"/>
          <w:sz w:val="22"/>
          <w:szCs w:val="22"/>
        </w:rPr>
      </w:pPr>
      <w:r w:rsidRPr="001B1756">
        <w:rPr>
          <w:rFonts w:cs="Arial"/>
          <w:sz w:val="22"/>
          <w:szCs w:val="22"/>
        </w:rPr>
        <w:t xml:space="preserve">A presente Nota Técnica atende à determinação do art.19 da Resolução n.º 1, de 2002, do Congresso Nacional, o qual estabelece: “O órgão de consultoria e assessoramento orçamentário da Casa a que pertencer o Relator de Medida Provisória encaminhará aos Relatores e à Comissão, no prazo de </w:t>
      </w:r>
      <w:proofErr w:type="gramStart"/>
      <w:r w:rsidRPr="001B1756">
        <w:rPr>
          <w:rFonts w:cs="Arial"/>
          <w:sz w:val="22"/>
          <w:szCs w:val="22"/>
        </w:rPr>
        <w:t>5</w:t>
      </w:r>
      <w:proofErr w:type="gramEnd"/>
      <w:r w:rsidRPr="001B1756">
        <w:rPr>
          <w:rFonts w:cs="Arial"/>
          <w:sz w:val="22"/>
          <w:szCs w:val="22"/>
        </w:rPr>
        <w:t xml:space="preserve"> (cinco) dias de sua publicação, nota técnica com subsídios acerca da adequação financeira e orçamentária de Medida Provisória”.</w:t>
      </w:r>
    </w:p>
    <w:p w:rsidR="00EF2AA2" w:rsidRPr="001B1756" w:rsidRDefault="00EF2AA2" w:rsidP="00EA02B2">
      <w:pPr>
        <w:ind w:firstLine="1134"/>
        <w:jc w:val="both"/>
        <w:rPr>
          <w:rFonts w:cs="Arial"/>
          <w:sz w:val="22"/>
          <w:szCs w:val="22"/>
        </w:rPr>
      </w:pPr>
    </w:p>
    <w:p w:rsidR="001332FA" w:rsidRPr="001B1756" w:rsidRDefault="001332FA" w:rsidP="00EA02B2">
      <w:pPr>
        <w:ind w:firstLine="1134"/>
        <w:jc w:val="both"/>
        <w:rPr>
          <w:rFonts w:cs="Arial"/>
          <w:sz w:val="22"/>
          <w:szCs w:val="22"/>
        </w:rPr>
      </w:pPr>
    </w:p>
    <w:p w:rsidR="00EA02B2" w:rsidRPr="001B1756" w:rsidRDefault="00EA02B2" w:rsidP="0037591F">
      <w:pPr>
        <w:pStyle w:val="Corpodetexto"/>
        <w:spacing w:before="120" w:after="240"/>
        <w:jc w:val="left"/>
        <w:rPr>
          <w:rFonts w:cs="Arial"/>
          <w:color w:val="auto"/>
          <w:szCs w:val="24"/>
        </w:rPr>
      </w:pPr>
      <w:r w:rsidRPr="001B1756">
        <w:rPr>
          <w:rFonts w:cs="Arial"/>
          <w:color w:val="auto"/>
          <w:szCs w:val="24"/>
        </w:rPr>
        <w:t>II – SÍNTESE E ASPECTOS RELEVANTES</w:t>
      </w:r>
    </w:p>
    <w:p w:rsidR="001104C9" w:rsidRDefault="00EA02B2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AF3DB5">
        <w:rPr>
          <w:rFonts w:cs="Arial"/>
          <w:b w:val="0"/>
          <w:color w:val="auto"/>
          <w:sz w:val="22"/>
          <w:szCs w:val="22"/>
        </w:rPr>
        <w:t xml:space="preserve">A Medida Provisória nº </w:t>
      </w:r>
      <w:r w:rsidR="001104C9">
        <w:rPr>
          <w:rFonts w:cs="Arial"/>
          <w:b w:val="0"/>
          <w:color w:val="auto"/>
          <w:sz w:val="22"/>
          <w:szCs w:val="22"/>
        </w:rPr>
        <w:t>8</w:t>
      </w:r>
      <w:r w:rsidR="001B1756" w:rsidRPr="00AF3DB5">
        <w:rPr>
          <w:rFonts w:cs="Arial"/>
          <w:b w:val="0"/>
          <w:color w:val="auto"/>
          <w:sz w:val="22"/>
          <w:szCs w:val="22"/>
        </w:rPr>
        <w:t>7</w:t>
      </w:r>
      <w:r w:rsidR="001104C9">
        <w:rPr>
          <w:rFonts w:cs="Arial"/>
          <w:b w:val="0"/>
          <w:color w:val="auto"/>
          <w:sz w:val="22"/>
          <w:szCs w:val="22"/>
        </w:rPr>
        <w:t>4</w:t>
      </w:r>
      <w:r w:rsidRPr="00AF3DB5">
        <w:rPr>
          <w:rFonts w:cs="Arial"/>
          <w:b w:val="0"/>
          <w:color w:val="auto"/>
          <w:sz w:val="22"/>
          <w:szCs w:val="22"/>
        </w:rPr>
        <w:t>/20</w:t>
      </w:r>
      <w:r w:rsidR="001104C9">
        <w:rPr>
          <w:rFonts w:cs="Arial"/>
          <w:b w:val="0"/>
          <w:color w:val="auto"/>
          <w:sz w:val="22"/>
          <w:szCs w:val="22"/>
        </w:rPr>
        <w:t>9</w:t>
      </w:r>
      <w:r w:rsidR="0033478E" w:rsidRPr="00AF3DB5">
        <w:rPr>
          <w:rFonts w:cs="Arial"/>
          <w:b w:val="0"/>
          <w:color w:val="auto"/>
          <w:sz w:val="22"/>
          <w:szCs w:val="22"/>
        </w:rPr>
        <w:t>8</w:t>
      </w:r>
      <w:r w:rsidRPr="00AF3DB5">
        <w:rPr>
          <w:rFonts w:cs="Arial"/>
          <w:b w:val="0"/>
          <w:color w:val="auto"/>
          <w:sz w:val="22"/>
          <w:szCs w:val="22"/>
        </w:rPr>
        <w:t xml:space="preserve"> </w:t>
      </w:r>
      <w:r w:rsidR="00AF3DB5" w:rsidRPr="00AF3DB5">
        <w:rPr>
          <w:rFonts w:cs="Arial"/>
          <w:b w:val="0"/>
          <w:color w:val="auto"/>
          <w:sz w:val="22"/>
          <w:szCs w:val="22"/>
        </w:rPr>
        <w:t xml:space="preserve">abre crédito extraordinário, em favor do Ministério da </w:t>
      </w:r>
      <w:r w:rsidR="001104C9">
        <w:rPr>
          <w:rFonts w:cs="Arial"/>
          <w:b w:val="0"/>
          <w:color w:val="auto"/>
          <w:sz w:val="22"/>
          <w:szCs w:val="22"/>
        </w:rPr>
        <w:t>Cidadania, no valor de R$ 1</w:t>
      </w:r>
      <w:r w:rsidR="00AF3DB5" w:rsidRPr="00AF3DB5">
        <w:rPr>
          <w:rFonts w:cs="Arial"/>
          <w:b w:val="0"/>
          <w:color w:val="auto"/>
          <w:sz w:val="22"/>
          <w:szCs w:val="22"/>
        </w:rPr>
        <w:t>.</w:t>
      </w:r>
      <w:r w:rsidR="001104C9">
        <w:rPr>
          <w:rFonts w:cs="Arial"/>
          <w:b w:val="0"/>
          <w:color w:val="auto"/>
          <w:sz w:val="22"/>
          <w:szCs w:val="22"/>
        </w:rPr>
        <w:t>368.6</w:t>
      </w:r>
      <w:r w:rsidR="00AF3DB5" w:rsidRPr="00AF3DB5">
        <w:rPr>
          <w:rFonts w:cs="Arial"/>
          <w:b w:val="0"/>
          <w:color w:val="auto"/>
          <w:sz w:val="22"/>
          <w:szCs w:val="22"/>
        </w:rPr>
        <w:t xml:space="preserve">00,00, para a ação </w:t>
      </w:r>
      <w:r w:rsidR="001104C9">
        <w:rPr>
          <w:rFonts w:cs="Arial"/>
          <w:b w:val="0"/>
          <w:color w:val="auto"/>
          <w:sz w:val="22"/>
          <w:szCs w:val="22"/>
        </w:rPr>
        <w:t>00RH</w:t>
      </w:r>
      <w:r w:rsidR="00AF3DB5" w:rsidRPr="00AF3DB5">
        <w:rPr>
          <w:rFonts w:cs="Arial"/>
          <w:b w:val="0"/>
          <w:color w:val="auto"/>
          <w:sz w:val="22"/>
          <w:szCs w:val="22"/>
        </w:rPr>
        <w:t xml:space="preserve"> – </w:t>
      </w:r>
      <w:r w:rsidR="001104C9" w:rsidRPr="001104C9">
        <w:rPr>
          <w:rFonts w:cs="Arial"/>
          <w:b w:val="0"/>
          <w:color w:val="auto"/>
          <w:sz w:val="22"/>
          <w:szCs w:val="22"/>
        </w:rPr>
        <w:t xml:space="preserve">Auxílio Emergencial Pecuniário Assistencial aos Beneficiários </w:t>
      </w:r>
      <w:proofErr w:type="gramStart"/>
      <w:r w:rsidR="001104C9" w:rsidRPr="001104C9">
        <w:rPr>
          <w:rFonts w:cs="Arial"/>
          <w:b w:val="0"/>
          <w:color w:val="auto"/>
          <w:sz w:val="22"/>
          <w:szCs w:val="22"/>
        </w:rPr>
        <w:t>do Bolsa</w:t>
      </w:r>
      <w:proofErr w:type="gramEnd"/>
      <w:r w:rsidR="001104C9" w:rsidRPr="001104C9">
        <w:rPr>
          <w:rFonts w:cs="Arial"/>
          <w:b w:val="0"/>
          <w:color w:val="auto"/>
          <w:sz w:val="22"/>
          <w:szCs w:val="22"/>
        </w:rPr>
        <w:t xml:space="preserve"> Família, do BPC e da RMV Afetados por Calamidade em Brumadinho-MG - No Município de Brumadinho </w:t>
      </w:r>
      <w:r w:rsidR="001104C9">
        <w:rPr>
          <w:rFonts w:cs="Arial"/>
          <w:b w:val="0"/>
          <w:color w:val="auto"/>
          <w:sz w:val="22"/>
          <w:szCs w:val="22"/>
        </w:rPr>
        <w:t>–</w:t>
      </w:r>
      <w:r w:rsidR="001104C9" w:rsidRPr="001104C9">
        <w:rPr>
          <w:rFonts w:cs="Arial"/>
          <w:b w:val="0"/>
          <w:color w:val="auto"/>
          <w:sz w:val="22"/>
          <w:szCs w:val="22"/>
        </w:rPr>
        <w:t xml:space="preserve"> MG</w:t>
      </w:r>
      <w:r w:rsidR="001104C9">
        <w:rPr>
          <w:rFonts w:cs="Arial"/>
          <w:b w:val="0"/>
          <w:color w:val="auto"/>
          <w:sz w:val="22"/>
          <w:szCs w:val="22"/>
        </w:rPr>
        <w:t>.</w:t>
      </w:r>
    </w:p>
    <w:p w:rsidR="00DA37E3" w:rsidRPr="00710E3C" w:rsidRDefault="00EA02B2" w:rsidP="00C72F2D">
      <w:pPr>
        <w:pStyle w:val="Recuodecorpodetexto"/>
        <w:spacing w:before="120"/>
        <w:ind w:firstLine="1134"/>
        <w:rPr>
          <w:rFonts w:eastAsia="Calibri" w:cs="Arial"/>
          <w:szCs w:val="24"/>
          <w:lang w:eastAsia="en-US"/>
        </w:rPr>
      </w:pPr>
      <w:r w:rsidRPr="00710E3C">
        <w:rPr>
          <w:rFonts w:cs="Arial"/>
          <w:szCs w:val="24"/>
        </w:rPr>
        <w:t xml:space="preserve">A Exposição de Motivos </w:t>
      </w:r>
      <w:r w:rsidR="00EB317A" w:rsidRPr="00710E3C">
        <w:rPr>
          <w:rFonts w:cs="Arial"/>
          <w:szCs w:val="24"/>
        </w:rPr>
        <w:t>(</w:t>
      </w:r>
      <w:r w:rsidRPr="00710E3C">
        <w:rPr>
          <w:rFonts w:cs="Arial"/>
          <w:szCs w:val="24"/>
        </w:rPr>
        <w:t>EM</w:t>
      </w:r>
      <w:r w:rsidR="00EB317A" w:rsidRPr="00710E3C">
        <w:rPr>
          <w:rFonts w:cs="Arial"/>
          <w:szCs w:val="24"/>
        </w:rPr>
        <w:t>)</w:t>
      </w:r>
      <w:r w:rsidRPr="00710E3C">
        <w:rPr>
          <w:rFonts w:cs="Arial"/>
          <w:szCs w:val="24"/>
        </w:rPr>
        <w:t xml:space="preserve"> nº 00</w:t>
      </w:r>
      <w:r w:rsidR="001104C9">
        <w:rPr>
          <w:rFonts w:cs="Arial"/>
          <w:szCs w:val="24"/>
        </w:rPr>
        <w:t>050</w:t>
      </w:r>
      <w:r w:rsidRPr="00710E3C">
        <w:rPr>
          <w:rFonts w:cs="Arial"/>
          <w:szCs w:val="24"/>
        </w:rPr>
        <w:t>/201</w:t>
      </w:r>
      <w:r w:rsidR="001104C9">
        <w:rPr>
          <w:rFonts w:cs="Arial"/>
          <w:szCs w:val="24"/>
        </w:rPr>
        <w:t>9</w:t>
      </w:r>
      <w:r w:rsidRPr="00710E3C">
        <w:rPr>
          <w:rFonts w:cs="Arial"/>
          <w:szCs w:val="24"/>
        </w:rPr>
        <w:t>-M</w:t>
      </w:r>
      <w:r w:rsidR="001104C9">
        <w:rPr>
          <w:rFonts w:cs="Arial"/>
          <w:szCs w:val="24"/>
        </w:rPr>
        <w:t>E</w:t>
      </w:r>
      <w:r w:rsidRPr="00710E3C">
        <w:rPr>
          <w:rFonts w:cs="Arial"/>
          <w:szCs w:val="24"/>
        </w:rPr>
        <w:t xml:space="preserve">, de </w:t>
      </w:r>
      <w:r w:rsidR="00AF3DB5" w:rsidRPr="00710E3C">
        <w:rPr>
          <w:rFonts w:cs="Arial"/>
          <w:szCs w:val="24"/>
        </w:rPr>
        <w:t>1</w:t>
      </w:r>
      <w:r w:rsidR="001104C9">
        <w:rPr>
          <w:rFonts w:cs="Arial"/>
          <w:szCs w:val="24"/>
        </w:rPr>
        <w:t>1</w:t>
      </w:r>
      <w:r w:rsidRPr="00710E3C">
        <w:rPr>
          <w:rFonts w:cs="Arial"/>
          <w:szCs w:val="24"/>
        </w:rPr>
        <w:t xml:space="preserve"> de </w:t>
      </w:r>
      <w:r w:rsidR="001104C9">
        <w:rPr>
          <w:rFonts w:cs="Arial"/>
          <w:szCs w:val="24"/>
        </w:rPr>
        <w:t>març</w:t>
      </w:r>
      <w:r w:rsidR="00AF3DB5" w:rsidRPr="00710E3C">
        <w:rPr>
          <w:rFonts w:cs="Arial"/>
          <w:szCs w:val="24"/>
        </w:rPr>
        <w:t>o</w:t>
      </w:r>
      <w:r w:rsidRPr="00710E3C">
        <w:rPr>
          <w:rFonts w:cs="Arial"/>
          <w:szCs w:val="24"/>
        </w:rPr>
        <w:t xml:space="preserve"> de 201</w:t>
      </w:r>
      <w:r w:rsidR="001104C9">
        <w:rPr>
          <w:rFonts w:cs="Arial"/>
          <w:szCs w:val="24"/>
        </w:rPr>
        <w:t>9</w:t>
      </w:r>
      <w:r w:rsidRPr="00710E3C">
        <w:rPr>
          <w:rFonts w:cs="Arial"/>
          <w:szCs w:val="24"/>
        </w:rPr>
        <w:t xml:space="preserve">, que acompanha a referida MP, </w:t>
      </w:r>
      <w:r w:rsidR="001E34C6" w:rsidRPr="00710E3C">
        <w:rPr>
          <w:rFonts w:cs="Arial"/>
          <w:szCs w:val="24"/>
        </w:rPr>
        <w:t>esclarece que</w:t>
      </w:r>
      <w:r w:rsidR="001F36C0" w:rsidRPr="00710E3C">
        <w:rPr>
          <w:rFonts w:cs="Arial"/>
          <w:szCs w:val="24"/>
        </w:rPr>
        <w:t xml:space="preserve"> </w:t>
      </w:r>
      <w:r w:rsidR="00AF3DB5" w:rsidRPr="00710E3C">
        <w:rPr>
          <w:rFonts w:cs="Arial"/>
          <w:szCs w:val="24"/>
        </w:rPr>
        <w:t xml:space="preserve">a medida </w:t>
      </w:r>
      <w:r w:rsidR="00C72F2D">
        <w:t xml:space="preserve">possibilitará a concessão de auxílio emergencial pecuniário assistencial, no valor de R$ 600,00 (seiscentos reais), em parcela única, aos beneficiários do Programa Bolsa Família - PBF, do Benefício de Prestação Continuada - BPC e da Renda Mensal Vitalícia - RMV afetados por calamidade decorrente da ruptura da barragem de rejeitos de mineração do Córrego do Feijão, no Município de Brumadinho, no Estado de Minas Gerais, tendo em vista </w:t>
      </w:r>
      <w:proofErr w:type="gramStart"/>
      <w:r w:rsidR="00C72F2D">
        <w:t>minimizar</w:t>
      </w:r>
      <w:proofErr w:type="gramEnd"/>
      <w:r w:rsidR="00C72F2D">
        <w:t xml:space="preserve"> a grave circunstância de vulnerabilidade decorrente desse desastre. De acordo com o órgão, estima-se que deverão ser pagos 2.281 auxílios.</w:t>
      </w:r>
    </w:p>
    <w:p w:rsidR="007D55C7" w:rsidRPr="00710E3C" w:rsidRDefault="007D55C7" w:rsidP="007D55C7">
      <w:pPr>
        <w:pStyle w:val="Recuodecorpodetexto"/>
        <w:spacing w:before="120"/>
        <w:ind w:firstLine="1134"/>
        <w:rPr>
          <w:rFonts w:eastAsia="Calibri" w:cs="Arial"/>
          <w:szCs w:val="24"/>
          <w:lang w:eastAsia="en-US"/>
        </w:rPr>
      </w:pPr>
    </w:p>
    <w:p w:rsidR="00EA02B2" w:rsidRPr="00710E3C" w:rsidRDefault="00EA02B2" w:rsidP="0037591F">
      <w:pPr>
        <w:pStyle w:val="Corpodetexto"/>
        <w:spacing w:before="120" w:after="240"/>
        <w:jc w:val="left"/>
        <w:rPr>
          <w:rFonts w:cs="Arial"/>
          <w:color w:val="auto"/>
          <w:szCs w:val="24"/>
        </w:rPr>
      </w:pPr>
      <w:r w:rsidRPr="00710E3C">
        <w:rPr>
          <w:rFonts w:cs="Arial"/>
          <w:color w:val="auto"/>
          <w:szCs w:val="24"/>
        </w:rPr>
        <w:t xml:space="preserve">III </w:t>
      </w:r>
      <w:r w:rsidR="001223FA" w:rsidRPr="00710E3C">
        <w:rPr>
          <w:rFonts w:cs="Arial"/>
          <w:color w:val="auto"/>
          <w:szCs w:val="24"/>
        </w:rPr>
        <w:t>–</w:t>
      </w:r>
      <w:r w:rsidRPr="00710E3C">
        <w:rPr>
          <w:rFonts w:cs="Arial"/>
          <w:color w:val="auto"/>
          <w:szCs w:val="24"/>
        </w:rPr>
        <w:t xml:space="preserve"> DA</w:t>
      </w:r>
      <w:r w:rsidR="001223FA" w:rsidRPr="00710E3C">
        <w:rPr>
          <w:rFonts w:cs="Arial"/>
          <w:color w:val="auto"/>
          <w:szCs w:val="24"/>
        </w:rPr>
        <w:t xml:space="preserve"> </w:t>
      </w:r>
      <w:r w:rsidRPr="00710E3C">
        <w:rPr>
          <w:rFonts w:cs="Arial"/>
          <w:color w:val="auto"/>
          <w:szCs w:val="24"/>
        </w:rPr>
        <w:t>ADEQUAÇÃO FINANCEIRA E ORÇAMENTÁRIA</w:t>
      </w:r>
    </w:p>
    <w:p w:rsidR="00622849" w:rsidRPr="00A5335E" w:rsidRDefault="00622849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A5335E">
        <w:rPr>
          <w:rFonts w:cs="Arial"/>
          <w:b w:val="0"/>
          <w:color w:val="auto"/>
          <w:sz w:val="22"/>
          <w:szCs w:val="22"/>
        </w:rPr>
        <w:t xml:space="preserve">O § 1º do art. 5º da Resolução nº 1, de 2002 – CN, que “Dispõe sobre a apreciação, pelo Congresso Nacional, das Medidas Provisórias a que se refere o art. 62 da Constituição Federal, e dá outras providências”, refere-se da seguinte forma ao exame de adequação orçamentária e financeira: “O exame de compatibilidade e adequação orçamentária e financeira </w:t>
      </w:r>
      <w:r w:rsidRPr="00A5335E">
        <w:rPr>
          <w:rFonts w:cs="Arial"/>
          <w:b w:val="0"/>
          <w:color w:val="auto"/>
          <w:sz w:val="22"/>
          <w:szCs w:val="22"/>
        </w:rPr>
        <w:lastRenderedPageBreak/>
        <w:t xml:space="preserve">das Medidas Provisórias abrange a análise da repercussão sobre a receita ou a despesa pública da União e da implicação quanto ao atendimento das normas orçamentárias e financeiras vigentes, em especial a conformidade com a Lei Complementar nº 101, de </w:t>
      </w:r>
      <w:proofErr w:type="gramStart"/>
      <w:r w:rsidRPr="00A5335E">
        <w:rPr>
          <w:rFonts w:cs="Arial"/>
          <w:b w:val="0"/>
          <w:color w:val="auto"/>
          <w:sz w:val="22"/>
          <w:szCs w:val="22"/>
        </w:rPr>
        <w:t>4</w:t>
      </w:r>
      <w:proofErr w:type="gramEnd"/>
      <w:r w:rsidRPr="00A5335E">
        <w:rPr>
          <w:rFonts w:cs="Arial"/>
          <w:b w:val="0"/>
          <w:color w:val="auto"/>
          <w:sz w:val="22"/>
          <w:szCs w:val="22"/>
        </w:rPr>
        <w:t xml:space="preserve"> de maio de 2000, a lei do plano plurianual, a lei de diretrizes orçamentárias e a lei orçamentária da União”.</w:t>
      </w:r>
    </w:p>
    <w:p w:rsidR="00622849" w:rsidRPr="005F3A54" w:rsidRDefault="00622849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5F3A54">
        <w:rPr>
          <w:rFonts w:cs="Arial"/>
          <w:b w:val="0"/>
          <w:color w:val="auto"/>
          <w:sz w:val="22"/>
          <w:szCs w:val="22"/>
        </w:rPr>
        <w:t>Também não se verificou infringência aos demais dispositivos pertinentes da legislação orçamentária se mostram atendidos, em especial aqueles relativos especificamente a créditos extraordinários, constantes da LDO.</w:t>
      </w:r>
    </w:p>
    <w:p w:rsidR="005F3A54" w:rsidRPr="005F3A54" w:rsidRDefault="005F3A54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5F3A54">
        <w:rPr>
          <w:rFonts w:cs="Arial"/>
          <w:b w:val="0"/>
          <w:color w:val="auto"/>
          <w:sz w:val="22"/>
          <w:szCs w:val="22"/>
        </w:rPr>
        <w:t>Em que pese o fato de que o art. 43 da Lei 4.320, de 1964, não exigir cancelamentos compensatórios em crédito extraordinário, a Medida Provisória promove cancelamentos que compensam o crédito aberto, representando boa prática em consonância com a necessidade de equilíbrio fiscal estabelecido na Lei de Diretrizes Orçamentárias (LDO) vigente.</w:t>
      </w:r>
    </w:p>
    <w:p w:rsidR="00C505AF" w:rsidRDefault="00C505AF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622849" w:rsidRPr="00A5335E" w:rsidRDefault="00622849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622849" w:rsidRPr="00A5335E" w:rsidRDefault="00622849" w:rsidP="00622849">
      <w:pPr>
        <w:pStyle w:val="Corpodetexto"/>
        <w:spacing w:before="120"/>
        <w:jc w:val="left"/>
        <w:rPr>
          <w:rFonts w:cs="Arial"/>
          <w:color w:val="auto"/>
          <w:szCs w:val="24"/>
        </w:rPr>
      </w:pPr>
      <w:r w:rsidRPr="00A5335E">
        <w:rPr>
          <w:rFonts w:cs="Arial"/>
          <w:color w:val="auto"/>
          <w:szCs w:val="24"/>
        </w:rPr>
        <w:t>IV – DOS PRESSUPOSTOS CONSTITUCIONAIS PARA ABERTURA DE CRÉDITOS</w:t>
      </w:r>
    </w:p>
    <w:p w:rsidR="00622849" w:rsidRPr="00A5335E" w:rsidRDefault="00622849" w:rsidP="00622849">
      <w:pPr>
        <w:pStyle w:val="Corpodetexto"/>
        <w:spacing w:after="240"/>
        <w:jc w:val="left"/>
        <w:rPr>
          <w:rFonts w:cs="Arial"/>
          <w:color w:val="auto"/>
          <w:szCs w:val="24"/>
        </w:rPr>
      </w:pPr>
      <w:r w:rsidRPr="00A5335E">
        <w:rPr>
          <w:rFonts w:cs="Arial"/>
          <w:color w:val="auto"/>
          <w:szCs w:val="24"/>
        </w:rPr>
        <w:t>EXTRAORDINÁRIOS</w:t>
      </w:r>
    </w:p>
    <w:p w:rsidR="00622849" w:rsidRPr="00586EC9" w:rsidRDefault="00622849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586EC9">
        <w:rPr>
          <w:rFonts w:cs="Arial"/>
          <w:b w:val="0"/>
          <w:color w:val="auto"/>
          <w:sz w:val="22"/>
          <w:szCs w:val="22"/>
        </w:rPr>
        <w:t xml:space="preserve">Com relação aos pressupostos constitucionais do crédito em análise, </w:t>
      </w:r>
      <w:r>
        <w:rPr>
          <w:rFonts w:cs="Arial"/>
          <w:b w:val="0"/>
          <w:color w:val="auto"/>
          <w:sz w:val="22"/>
          <w:szCs w:val="22"/>
        </w:rPr>
        <w:t xml:space="preserve">necessário considerar que </w:t>
      </w:r>
      <w:r w:rsidRPr="00586EC9">
        <w:rPr>
          <w:rFonts w:cs="Arial"/>
          <w:b w:val="0"/>
          <w:color w:val="auto"/>
          <w:sz w:val="22"/>
          <w:szCs w:val="22"/>
        </w:rPr>
        <w:t xml:space="preserve">o caput do art. 62 </w:t>
      </w:r>
      <w:r>
        <w:rPr>
          <w:rFonts w:cs="Arial"/>
          <w:b w:val="0"/>
          <w:color w:val="auto"/>
          <w:sz w:val="22"/>
          <w:szCs w:val="22"/>
        </w:rPr>
        <w:t>juntamente</w:t>
      </w:r>
      <w:r w:rsidRPr="00586EC9">
        <w:rPr>
          <w:rFonts w:cs="Arial"/>
          <w:b w:val="0"/>
          <w:color w:val="auto"/>
          <w:sz w:val="22"/>
          <w:szCs w:val="22"/>
        </w:rPr>
        <w:t xml:space="preserve"> com o § 3º do art. 167 da Constituição Federal exigem que a medida provisória que abre crédito extraordinário deve atender a despesas relevantes, urgentes e imprevisíveis.</w:t>
      </w:r>
    </w:p>
    <w:p w:rsidR="00622849" w:rsidRPr="00586EC9" w:rsidRDefault="00622849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586EC9">
        <w:rPr>
          <w:rFonts w:cs="Arial"/>
          <w:b w:val="0"/>
          <w:color w:val="auto"/>
          <w:sz w:val="22"/>
          <w:szCs w:val="22"/>
        </w:rPr>
        <w:t xml:space="preserve">Ressalte-se que os requisitos de relevância e urgência são de natureza essencialmente política e </w:t>
      </w:r>
      <w:r>
        <w:rPr>
          <w:rFonts w:cs="Arial"/>
          <w:b w:val="0"/>
          <w:color w:val="auto"/>
          <w:sz w:val="22"/>
          <w:szCs w:val="22"/>
        </w:rPr>
        <w:t>são</w:t>
      </w:r>
      <w:r w:rsidRPr="00586EC9">
        <w:rPr>
          <w:rFonts w:cs="Arial"/>
          <w:b w:val="0"/>
          <w:color w:val="auto"/>
          <w:sz w:val="22"/>
          <w:szCs w:val="22"/>
        </w:rPr>
        <w:t xml:space="preserve"> sujeito</w:t>
      </w:r>
      <w:r>
        <w:rPr>
          <w:rFonts w:cs="Arial"/>
          <w:b w:val="0"/>
          <w:color w:val="auto"/>
          <w:sz w:val="22"/>
          <w:szCs w:val="22"/>
        </w:rPr>
        <w:t>s</w:t>
      </w:r>
      <w:r w:rsidRPr="00586EC9">
        <w:rPr>
          <w:rFonts w:cs="Arial"/>
          <w:b w:val="0"/>
          <w:color w:val="auto"/>
          <w:sz w:val="22"/>
          <w:szCs w:val="22"/>
        </w:rPr>
        <w:t xml:space="preserve"> a certo grau de subjetividade.</w:t>
      </w:r>
    </w:p>
    <w:p w:rsidR="00622849" w:rsidRPr="00B6088F" w:rsidRDefault="00622849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B6088F">
        <w:rPr>
          <w:rFonts w:cs="Arial"/>
          <w:b w:val="0"/>
          <w:color w:val="auto"/>
          <w:sz w:val="22"/>
          <w:szCs w:val="22"/>
        </w:rPr>
        <w:t>A respeito do critério da urgência o Supremo Tribunal Federal tem enfrentado a questão exigindo a demonstração objetiva desse requisito em termos de lapso-temporal e não simplesmente sob o aspecto subjetivo de urgência, que se costuma associar a um juízo político de oportunidade e conveniência.</w:t>
      </w:r>
    </w:p>
    <w:p w:rsidR="00622849" w:rsidRPr="00B6088F" w:rsidRDefault="00622849" w:rsidP="00622849">
      <w:pPr>
        <w:pStyle w:val="Corpodetexto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B6088F">
        <w:rPr>
          <w:rFonts w:cs="Arial"/>
          <w:b w:val="0"/>
          <w:color w:val="auto"/>
          <w:sz w:val="22"/>
          <w:szCs w:val="22"/>
        </w:rPr>
        <w:t>Quanto ao requisito da imprevisibilidade que só se aplica às medidas provisórias que tratam de créditos extraordinários, associada ao requisito de urgência contido no art. 167, § 3º, a própria Constituição confere parâmetros para se aferir o caráter urgente e imprevisível das despesas:</w:t>
      </w:r>
    </w:p>
    <w:p w:rsidR="00622849" w:rsidRPr="00B6088F" w:rsidRDefault="00622849" w:rsidP="00622849">
      <w:pPr>
        <w:ind w:left="2268"/>
        <w:jc w:val="both"/>
        <w:rPr>
          <w:rFonts w:cs="Arial"/>
          <w:sz w:val="22"/>
          <w:szCs w:val="22"/>
        </w:rPr>
      </w:pPr>
      <w:r w:rsidRPr="00B6088F">
        <w:rPr>
          <w:rFonts w:cs="Arial"/>
          <w:sz w:val="22"/>
          <w:szCs w:val="22"/>
        </w:rPr>
        <w:t>“Art. 167 (</w:t>
      </w:r>
      <w:proofErr w:type="gramStart"/>
      <w:r w:rsidRPr="00B6088F">
        <w:rPr>
          <w:rFonts w:cs="Arial"/>
          <w:sz w:val="22"/>
          <w:szCs w:val="22"/>
        </w:rPr>
        <w:t>....</w:t>
      </w:r>
      <w:proofErr w:type="gramEnd"/>
      <w:r w:rsidRPr="00B6088F">
        <w:rPr>
          <w:rFonts w:cs="Arial"/>
          <w:sz w:val="22"/>
          <w:szCs w:val="22"/>
        </w:rPr>
        <w:t>)</w:t>
      </w:r>
    </w:p>
    <w:p w:rsidR="00622849" w:rsidRPr="00B6088F" w:rsidRDefault="00622849" w:rsidP="00622849">
      <w:pPr>
        <w:pStyle w:val="NormalWeb"/>
        <w:spacing w:before="0" w:beforeAutospacing="0" w:after="0" w:afterAutospacing="0"/>
        <w:ind w:left="2268" w:firstLine="360"/>
        <w:jc w:val="both"/>
        <w:rPr>
          <w:rFonts w:ascii="Arial" w:hAnsi="Arial" w:cs="Arial"/>
          <w:sz w:val="22"/>
          <w:szCs w:val="22"/>
        </w:rPr>
      </w:pPr>
      <w:bookmarkStart w:id="1" w:name="art167§3"/>
      <w:bookmarkEnd w:id="1"/>
      <w:r w:rsidRPr="00B6088F">
        <w:rPr>
          <w:rFonts w:ascii="Arial" w:hAnsi="Arial" w:cs="Arial"/>
          <w:sz w:val="22"/>
          <w:szCs w:val="22"/>
        </w:rPr>
        <w:t xml:space="preserve">§ </w:t>
      </w:r>
      <w:proofErr w:type="gramStart"/>
      <w:r w:rsidRPr="00B6088F">
        <w:rPr>
          <w:rFonts w:ascii="Arial" w:hAnsi="Arial" w:cs="Arial"/>
          <w:sz w:val="22"/>
          <w:szCs w:val="22"/>
        </w:rPr>
        <w:t>3º - A abertura de crédito extraordinário somente será admitida para atender a despesas imprevisíveis e urgentes, como as decorrentes de guerra, comoção interna ou calamidade pública, observado o disposto no art. 62.”</w:t>
      </w:r>
      <w:proofErr w:type="gramEnd"/>
    </w:p>
    <w:p w:rsidR="00C72F2D" w:rsidRDefault="00C72F2D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C72F2D" w:rsidRDefault="00C72F2D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C72F2D">
        <w:rPr>
          <w:rFonts w:cs="Arial"/>
          <w:b w:val="0"/>
          <w:color w:val="auto"/>
          <w:sz w:val="22"/>
          <w:szCs w:val="22"/>
        </w:rPr>
        <w:t xml:space="preserve">A urgência do crédito justifica-se pela necessidade de atuação imediata do Poder Público com o objetivo de mitigar os efeitos danosos causados a pessoas e famílias pelo rompimento da referida barragem, </w:t>
      </w:r>
      <w:proofErr w:type="gramStart"/>
      <w:r w:rsidRPr="00C72F2D">
        <w:rPr>
          <w:rFonts w:cs="Arial"/>
          <w:b w:val="0"/>
          <w:color w:val="auto"/>
          <w:sz w:val="22"/>
          <w:szCs w:val="22"/>
        </w:rPr>
        <w:t>sob pena</w:t>
      </w:r>
      <w:proofErr w:type="gramEnd"/>
      <w:r w:rsidRPr="00C72F2D">
        <w:rPr>
          <w:rFonts w:cs="Arial"/>
          <w:b w:val="0"/>
          <w:color w:val="auto"/>
          <w:sz w:val="22"/>
          <w:szCs w:val="22"/>
        </w:rPr>
        <w:t xml:space="preserve"> de agravamento do quadro de vulnerabilidade no naquele Município. A relevância baseia-se na situação de calamidade pública vivenciada pelos habitantes de Brumadinho, reconhecida pela Secretaria Nacional de Proteção e Defesa Civil do Ministério do Desenvolvimento Regional, por meio da edição da Portaria nº 30, de 2019.</w:t>
      </w:r>
    </w:p>
    <w:p w:rsidR="006F6FAA" w:rsidRDefault="00845630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>
        <w:rPr>
          <w:rFonts w:cs="Arial"/>
          <w:b w:val="0"/>
          <w:color w:val="auto"/>
          <w:sz w:val="22"/>
          <w:szCs w:val="22"/>
        </w:rPr>
        <w:t>Também é plausível considerar que a situação é de difícil previsibilidade</w:t>
      </w:r>
      <w:r w:rsidR="00C72F2D">
        <w:rPr>
          <w:rFonts w:cs="Arial"/>
          <w:b w:val="0"/>
          <w:color w:val="auto"/>
          <w:sz w:val="22"/>
          <w:szCs w:val="22"/>
        </w:rPr>
        <w:t xml:space="preserve">, não tendo sido possível </w:t>
      </w:r>
      <w:r w:rsidR="00C72F2D" w:rsidRPr="00C72F2D">
        <w:rPr>
          <w:rFonts w:cs="Arial"/>
          <w:b w:val="0"/>
          <w:color w:val="auto"/>
          <w:sz w:val="22"/>
          <w:szCs w:val="22"/>
        </w:rPr>
        <w:t>antever, para o presente exercício financeiro, a ocorrência de ruptura de barragens, como a em comento, não havendo, dessa forma, a possibilidade fática e a pertinência de prever a despesa na programação orçamentária vigente.</w:t>
      </w:r>
    </w:p>
    <w:p w:rsidR="00845630" w:rsidRPr="00845630" w:rsidRDefault="00845630" w:rsidP="00C72F2D">
      <w:pPr>
        <w:pStyle w:val="Corpodetexto"/>
        <w:spacing w:before="120"/>
        <w:jc w:val="both"/>
        <w:rPr>
          <w:rFonts w:cs="Arial"/>
          <w:b w:val="0"/>
          <w:color w:val="auto"/>
          <w:sz w:val="22"/>
          <w:szCs w:val="22"/>
        </w:rPr>
      </w:pPr>
    </w:p>
    <w:p w:rsidR="00CE0EC7" w:rsidRPr="00845630" w:rsidRDefault="00CE0EC7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B9764D" w:rsidRPr="00845630" w:rsidRDefault="00B9764D" w:rsidP="00B9764D">
      <w:pPr>
        <w:pStyle w:val="Corpodetexto"/>
        <w:spacing w:before="120" w:after="240"/>
        <w:jc w:val="left"/>
        <w:rPr>
          <w:rFonts w:cs="Arial"/>
          <w:color w:val="auto"/>
          <w:szCs w:val="24"/>
        </w:rPr>
      </w:pPr>
      <w:r w:rsidRPr="00845630">
        <w:rPr>
          <w:rFonts w:cs="Arial"/>
          <w:color w:val="auto"/>
          <w:szCs w:val="24"/>
        </w:rPr>
        <w:t>V – CONCLUSÃO</w:t>
      </w:r>
    </w:p>
    <w:p w:rsidR="00B9764D" w:rsidRPr="00845630" w:rsidRDefault="00B9764D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BE2470" w:rsidRPr="00845630" w:rsidRDefault="008652E0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>
        <w:rPr>
          <w:rFonts w:cs="Arial"/>
          <w:b w:val="0"/>
          <w:color w:val="auto"/>
          <w:sz w:val="22"/>
          <w:szCs w:val="22"/>
        </w:rPr>
        <w:t>Diante das informações aqui expostas, entendemos que a presente Medida Provisória atende a legislação aplicável</w:t>
      </w:r>
      <w:r w:rsidR="00311157">
        <w:rPr>
          <w:rFonts w:cs="Arial"/>
          <w:b w:val="0"/>
          <w:color w:val="auto"/>
          <w:sz w:val="22"/>
          <w:szCs w:val="22"/>
        </w:rPr>
        <w:t xml:space="preserve"> sob o ponto de vista da adequação orçamentária e financeira</w:t>
      </w:r>
      <w:r w:rsidR="00BE2470" w:rsidRPr="00845630">
        <w:rPr>
          <w:rFonts w:cs="Arial"/>
          <w:b w:val="0"/>
          <w:color w:val="auto"/>
          <w:sz w:val="22"/>
          <w:szCs w:val="22"/>
        </w:rPr>
        <w:t>.</w:t>
      </w:r>
    </w:p>
    <w:p w:rsidR="00EA02B2" w:rsidRPr="00845630" w:rsidRDefault="00E43C34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845630">
        <w:rPr>
          <w:rFonts w:cs="Arial"/>
          <w:b w:val="0"/>
          <w:color w:val="auto"/>
          <w:sz w:val="22"/>
          <w:szCs w:val="22"/>
        </w:rPr>
        <w:t>São e</w:t>
      </w:r>
      <w:r w:rsidR="00EA02B2" w:rsidRPr="00845630">
        <w:rPr>
          <w:rFonts w:cs="Arial"/>
          <w:b w:val="0"/>
          <w:color w:val="auto"/>
          <w:sz w:val="22"/>
          <w:szCs w:val="22"/>
        </w:rPr>
        <w:t>sses os subsídios</w:t>
      </w:r>
      <w:r w:rsidRPr="00845630">
        <w:rPr>
          <w:rFonts w:cs="Arial"/>
          <w:b w:val="0"/>
          <w:color w:val="auto"/>
          <w:sz w:val="22"/>
          <w:szCs w:val="22"/>
        </w:rPr>
        <w:t xml:space="preserve"> considerados </w:t>
      </w:r>
      <w:r w:rsidR="001534B9" w:rsidRPr="00845630">
        <w:rPr>
          <w:rFonts w:cs="Arial"/>
          <w:b w:val="0"/>
          <w:color w:val="auto"/>
          <w:sz w:val="22"/>
          <w:szCs w:val="22"/>
        </w:rPr>
        <w:t>pertinentes</w:t>
      </w:r>
      <w:r w:rsidR="00EA02B2" w:rsidRPr="00845630">
        <w:rPr>
          <w:rFonts w:cs="Arial"/>
          <w:b w:val="0"/>
          <w:color w:val="auto"/>
          <w:sz w:val="22"/>
          <w:szCs w:val="22"/>
        </w:rPr>
        <w:t>.</w:t>
      </w:r>
    </w:p>
    <w:p w:rsidR="008652E0" w:rsidRPr="00845630" w:rsidRDefault="008652E0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337F37" w:rsidRPr="00845630" w:rsidRDefault="00337F37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845630">
        <w:rPr>
          <w:rFonts w:cs="Arial"/>
          <w:b w:val="0"/>
          <w:color w:val="auto"/>
          <w:sz w:val="22"/>
          <w:szCs w:val="22"/>
        </w:rPr>
        <w:t xml:space="preserve">Brasília, </w:t>
      </w:r>
      <w:r w:rsidR="00C72F2D">
        <w:rPr>
          <w:rFonts w:cs="Arial"/>
          <w:b w:val="0"/>
          <w:color w:val="auto"/>
          <w:sz w:val="22"/>
          <w:szCs w:val="22"/>
        </w:rPr>
        <w:t>20</w:t>
      </w:r>
      <w:r w:rsidRPr="00845630">
        <w:rPr>
          <w:rFonts w:cs="Arial"/>
          <w:b w:val="0"/>
          <w:color w:val="auto"/>
          <w:sz w:val="22"/>
          <w:szCs w:val="22"/>
        </w:rPr>
        <w:t xml:space="preserve"> de </w:t>
      </w:r>
      <w:r w:rsidR="00C72F2D">
        <w:rPr>
          <w:rFonts w:cs="Arial"/>
          <w:b w:val="0"/>
          <w:color w:val="auto"/>
          <w:sz w:val="22"/>
          <w:szCs w:val="22"/>
        </w:rPr>
        <w:t>març</w:t>
      </w:r>
      <w:r w:rsidR="00845630">
        <w:rPr>
          <w:rFonts w:cs="Arial"/>
          <w:b w:val="0"/>
          <w:color w:val="auto"/>
          <w:sz w:val="22"/>
          <w:szCs w:val="22"/>
        </w:rPr>
        <w:t>o</w:t>
      </w:r>
      <w:r w:rsidRPr="00845630">
        <w:rPr>
          <w:rFonts w:cs="Arial"/>
          <w:b w:val="0"/>
          <w:color w:val="auto"/>
          <w:sz w:val="22"/>
          <w:szCs w:val="22"/>
        </w:rPr>
        <w:t xml:space="preserve"> de 201</w:t>
      </w:r>
      <w:r w:rsidR="00C72F2D">
        <w:rPr>
          <w:rFonts w:cs="Arial"/>
          <w:b w:val="0"/>
          <w:color w:val="auto"/>
          <w:sz w:val="22"/>
          <w:szCs w:val="22"/>
        </w:rPr>
        <w:t>9</w:t>
      </w:r>
      <w:r w:rsidRPr="00845630">
        <w:rPr>
          <w:rFonts w:cs="Arial"/>
          <w:b w:val="0"/>
          <w:color w:val="auto"/>
          <w:sz w:val="22"/>
          <w:szCs w:val="22"/>
        </w:rPr>
        <w:t>.</w:t>
      </w:r>
    </w:p>
    <w:p w:rsidR="00337B48" w:rsidRPr="00845630" w:rsidRDefault="00337B48" w:rsidP="00C745D2">
      <w:pPr>
        <w:keepNext/>
        <w:spacing w:after="120" w:line="360" w:lineRule="auto"/>
        <w:ind w:left="425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337F37" w:rsidRPr="00845630" w:rsidRDefault="00337F37" w:rsidP="001534B9">
      <w:pPr>
        <w:keepNext/>
        <w:ind w:left="425"/>
        <w:jc w:val="center"/>
        <w:outlineLvl w:val="1"/>
        <w:rPr>
          <w:rFonts w:cs="Arial"/>
          <w:sz w:val="22"/>
          <w:szCs w:val="22"/>
        </w:rPr>
      </w:pPr>
    </w:p>
    <w:p w:rsidR="00337F37" w:rsidRPr="00845630" w:rsidRDefault="00337F37" w:rsidP="001534B9">
      <w:pPr>
        <w:keepNext/>
        <w:ind w:left="425"/>
        <w:jc w:val="center"/>
        <w:outlineLvl w:val="1"/>
        <w:rPr>
          <w:rFonts w:cs="Arial"/>
          <w:sz w:val="22"/>
          <w:szCs w:val="22"/>
        </w:rPr>
      </w:pPr>
    </w:p>
    <w:p w:rsidR="001E0BB2" w:rsidRPr="00845630" w:rsidRDefault="00C72F2D" w:rsidP="001534B9">
      <w:pPr>
        <w:keepNext/>
        <w:ind w:left="425"/>
        <w:jc w:val="center"/>
        <w:outlineLvl w:val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Júlia Marinho Rodrigues</w:t>
      </w:r>
    </w:p>
    <w:p w:rsidR="001E0BB2" w:rsidRPr="00845630" w:rsidRDefault="001E0BB2" w:rsidP="00C745D2">
      <w:pPr>
        <w:keepNext/>
        <w:spacing w:after="120" w:line="360" w:lineRule="auto"/>
        <w:ind w:left="425"/>
        <w:jc w:val="center"/>
        <w:outlineLvl w:val="1"/>
        <w:rPr>
          <w:rFonts w:cs="Arial"/>
          <w:sz w:val="22"/>
          <w:szCs w:val="22"/>
        </w:rPr>
      </w:pPr>
      <w:r w:rsidRPr="00845630">
        <w:rPr>
          <w:rFonts w:cs="Arial"/>
          <w:sz w:val="22"/>
          <w:szCs w:val="22"/>
        </w:rPr>
        <w:t>Consultor</w:t>
      </w:r>
      <w:r w:rsidR="00C72F2D">
        <w:rPr>
          <w:rFonts w:cs="Arial"/>
          <w:sz w:val="22"/>
          <w:szCs w:val="22"/>
        </w:rPr>
        <w:t>a</w:t>
      </w:r>
      <w:r w:rsidRPr="00845630">
        <w:rPr>
          <w:rFonts w:cs="Arial"/>
          <w:sz w:val="22"/>
          <w:szCs w:val="22"/>
        </w:rPr>
        <w:t xml:space="preserve"> de Orçamento e Fiscalização Financeira</w:t>
      </w:r>
      <w:r w:rsidR="00587F25" w:rsidRPr="00845630">
        <w:rPr>
          <w:rFonts w:cs="Arial"/>
          <w:sz w:val="22"/>
          <w:szCs w:val="22"/>
        </w:rPr>
        <w:t>/CD</w:t>
      </w:r>
    </w:p>
    <w:p w:rsidR="001E0BB2" w:rsidRPr="004B1929" w:rsidRDefault="001E0BB2" w:rsidP="00B657F2">
      <w:pPr>
        <w:spacing w:line="300" w:lineRule="auto"/>
        <w:ind w:left="426"/>
        <w:jc w:val="center"/>
        <w:rPr>
          <w:rFonts w:ascii="Times New Roman" w:hAnsi="Times New Roman"/>
          <w:color w:val="000000"/>
          <w:szCs w:val="24"/>
        </w:rPr>
      </w:pPr>
    </w:p>
    <w:sectPr w:rsidR="001E0BB2" w:rsidRPr="004B1929" w:rsidSect="007D55C7">
      <w:headerReference w:type="default" r:id="rId11"/>
      <w:footerReference w:type="even" r:id="rId12"/>
      <w:footerReference w:type="default" r:id="rId13"/>
      <w:pgSz w:w="11907" w:h="16840" w:code="9"/>
      <w:pgMar w:top="1134" w:right="1134" w:bottom="1560" w:left="1134" w:header="709" w:footer="567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06" w:rsidRDefault="008A7206">
      <w:r>
        <w:separator/>
      </w:r>
    </w:p>
  </w:endnote>
  <w:endnote w:type="continuationSeparator" w:id="0">
    <w:p w:rsidR="008A7206" w:rsidRDefault="008A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E4" w:rsidRDefault="000F1CE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1CE4" w:rsidRDefault="000F1CE4">
    <w:pPr>
      <w:pStyle w:val="Rodap"/>
    </w:pPr>
  </w:p>
  <w:p w:rsidR="000F1CE4" w:rsidRDefault="000F1CE4"/>
  <w:p w:rsidR="000F1CE4" w:rsidRDefault="000F1C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F54" w:rsidRPr="003F4F54" w:rsidRDefault="003F4F54">
    <w:pPr>
      <w:pStyle w:val="Rodap"/>
      <w:jc w:val="right"/>
      <w:rPr>
        <w:b/>
        <w:sz w:val="20"/>
      </w:rPr>
    </w:pPr>
    <w:r w:rsidRPr="003F4F54">
      <w:rPr>
        <w:b/>
        <w:sz w:val="20"/>
      </w:rPr>
      <w:fldChar w:fldCharType="begin"/>
    </w:r>
    <w:r w:rsidRPr="003F4F54">
      <w:rPr>
        <w:b/>
        <w:sz w:val="20"/>
      </w:rPr>
      <w:instrText>PAGE   \* MERGEFORMAT</w:instrText>
    </w:r>
    <w:r w:rsidRPr="003F4F54">
      <w:rPr>
        <w:b/>
        <w:sz w:val="20"/>
      </w:rPr>
      <w:fldChar w:fldCharType="separate"/>
    </w:r>
    <w:r w:rsidR="00B62B45">
      <w:rPr>
        <w:b/>
        <w:noProof/>
        <w:sz w:val="20"/>
      </w:rPr>
      <w:t>3</w:t>
    </w:r>
    <w:r w:rsidRPr="003F4F54">
      <w:rPr>
        <w:b/>
        <w:sz w:val="20"/>
      </w:rPr>
      <w:fldChar w:fldCharType="end"/>
    </w:r>
  </w:p>
  <w:p w:rsidR="00D645B2" w:rsidRPr="003F4F54" w:rsidRDefault="00D645B2" w:rsidP="003F4F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06" w:rsidRDefault="008A7206">
      <w:r>
        <w:separator/>
      </w:r>
    </w:p>
  </w:footnote>
  <w:footnote w:type="continuationSeparator" w:id="0">
    <w:p w:rsidR="008A7206" w:rsidRDefault="008A7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5B2" w:rsidRPr="00B657F2" w:rsidRDefault="000F1CE4" w:rsidP="00B657F2">
    <w:pPr>
      <w:framePr w:w="6498" w:h="573" w:hSpace="142" w:wrap="notBeside" w:vAnchor="page" w:hAnchor="page" w:x="3082" w:y="1247"/>
      <w:spacing w:after="120"/>
      <w:rPr>
        <w:rFonts w:ascii="Cambria" w:hAnsi="Cambria"/>
        <w:b/>
        <w:sz w:val="32"/>
      </w:rPr>
    </w:pPr>
    <w:r w:rsidRPr="000F1CE4">
      <w:rPr>
        <w:rFonts w:ascii="Cambria" w:hAnsi="Cambria"/>
        <w:b/>
        <w:sz w:val="28"/>
      </w:rPr>
      <w:t xml:space="preserve">CÂMARA DOS DEPUTADOS </w:t>
    </w:r>
  </w:p>
  <w:p w:rsidR="000F1CE4" w:rsidRPr="000F1CE4" w:rsidRDefault="000F1CE4" w:rsidP="00D645B2">
    <w:pPr>
      <w:framePr w:w="6498" w:h="573" w:hSpace="142" w:wrap="notBeside" w:vAnchor="page" w:hAnchor="page" w:x="3082" w:y="1247"/>
      <w:rPr>
        <w:rFonts w:ascii="Cambria" w:hAnsi="Cambria"/>
        <w:b/>
      </w:rPr>
    </w:pPr>
    <w:r w:rsidRPr="000F1CE4">
      <w:rPr>
        <w:rFonts w:ascii="Cambria" w:hAnsi="Cambria"/>
        <w:b/>
      </w:rPr>
      <w:t>Consultoria de Orçamento e Fiscalização Financeira</w:t>
    </w:r>
  </w:p>
  <w:bookmarkStart w:id="2" w:name="_MON_1520263158"/>
  <w:bookmarkEnd w:id="2"/>
  <w:p w:rsidR="00D645B2" w:rsidRDefault="003721C3" w:rsidP="001E0BB2">
    <w:pPr>
      <w:tabs>
        <w:tab w:val="left" w:pos="1174"/>
      </w:tabs>
      <w:spacing w:after="240"/>
      <w:jc w:val="both"/>
    </w:pPr>
    <w:r>
      <w:object w:dxaOrig="140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6.4pt;height:76.4pt" o:ole="" fillcolor="window">
          <v:imagedata r:id="rId1" o:title=""/>
        </v:shape>
        <o:OLEObject Type="Embed" ProgID="Word.Picture.8" ShapeID="_x0000_i1025" DrawAspect="Content" ObjectID="_16145827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CC9"/>
    <w:multiLevelType w:val="hybridMultilevel"/>
    <w:tmpl w:val="FC4C75A6"/>
    <w:lvl w:ilvl="0" w:tplc="711A56D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F415D9E"/>
    <w:multiLevelType w:val="hybridMultilevel"/>
    <w:tmpl w:val="FABEE644"/>
    <w:lvl w:ilvl="0" w:tplc="C2F028D6">
      <w:start w:val="1"/>
      <w:numFmt w:val="lowerRoman"/>
      <w:lvlText w:val="%1."/>
      <w:lvlJc w:val="left"/>
      <w:pPr>
        <w:ind w:left="1713" w:hanging="720"/>
      </w:pPr>
      <w:rPr>
        <w:rFonts w:ascii="Cambria" w:hAnsi="Cambria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F15122"/>
    <w:multiLevelType w:val="singleLevel"/>
    <w:tmpl w:val="4074EE29"/>
    <w:lvl w:ilvl="0">
      <w:start w:val="6"/>
      <w:numFmt w:val="decimal"/>
      <w:lvlText w:val="%1."/>
      <w:lvlJc w:val="left"/>
      <w:pPr>
        <w:widowControl w:val="0"/>
        <w:tabs>
          <w:tab w:val="num" w:pos="1864"/>
        </w:tabs>
        <w:ind w:left="64"/>
      </w:pPr>
    </w:lvl>
  </w:abstractNum>
  <w:abstractNum w:abstractNumId="3">
    <w:nsid w:val="27964F3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F6F694E"/>
    <w:multiLevelType w:val="hybridMultilevel"/>
    <w:tmpl w:val="27E833CA"/>
    <w:lvl w:ilvl="0" w:tplc="0E30A8C6">
      <w:start w:val="1"/>
      <w:numFmt w:val="lowerRoman"/>
      <w:lvlText w:val="%1."/>
      <w:lvlJc w:val="left"/>
      <w:pPr>
        <w:ind w:left="1080" w:hanging="720"/>
      </w:pPr>
      <w:rPr>
        <w:rFonts w:ascii="Cambria" w:hAnsi="Cambria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A2B2D"/>
    <w:multiLevelType w:val="hybridMultilevel"/>
    <w:tmpl w:val="C32A9F24"/>
    <w:lvl w:ilvl="0" w:tplc="069E41B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4979AC00"/>
    <w:multiLevelType w:val="singleLevel"/>
    <w:tmpl w:val="7C7AB646"/>
    <w:lvl w:ilvl="0">
      <w:start w:val="1"/>
      <w:numFmt w:val="decimal"/>
      <w:lvlText w:val="%1."/>
      <w:lvlJc w:val="left"/>
      <w:pPr>
        <w:widowControl w:val="0"/>
        <w:tabs>
          <w:tab w:val="num" w:pos="1864"/>
        </w:tabs>
        <w:ind w:left="64"/>
      </w:pPr>
    </w:lvl>
  </w:abstractNum>
  <w:abstractNum w:abstractNumId="7">
    <w:nsid w:val="49DA00E5"/>
    <w:multiLevelType w:val="hybridMultilevel"/>
    <w:tmpl w:val="DBA274C0"/>
    <w:lvl w:ilvl="0" w:tplc="D8EC82D0">
      <w:start w:val="1"/>
      <w:numFmt w:val="low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528F784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7C022BA"/>
    <w:multiLevelType w:val="singleLevel"/>
    <w:tmpl w:val="F85A3AC6"/>
    <w:lvl w:ilvl="0">
      <w:start w:val="2"/>
      <w:numFmt w:val="upperRoman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10">
    <w:nsid w:val="5D9018E9"/>
    <w:multiLevelType w:val="hybridMultilevel"/>
    <w:tmpl w:val="50C40782"/>
    <w:lvl w:ilvl="0" w:tplc="FC642C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83201"/>
    <w:multiLevelType w:val="hybridMultilevel"/>
    <w:tmpl w:val="0CBCD5B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C3"/>
    <w:rsid w:val="00000A03"/>
    <w:rsid w:val="00004ED6"/>
    <w:rsid w:val="00020877"/>
    <w:rsid w:val="000211FB"/>
    <w:rsid w:val="00021A4D"/>
    <w:rsid w:val="00024EA9"/>
    <w:rsid w:val="000324EC"/>
    <w:rsid w:val="00051742"/>
    <w:rsid w:val="000627C0"/>
    <w:rsid w:val="0006363E"/>
    <w:rsid w:val="00067DEE"/>
    <w:rsid w:val="00082C1E"/>
    <w:rsid w:val="000A31C8"/>
    <w:rsid w:val="000A4A09"/>
    <w:rsid w:val="000C6B48"/>
    <w:rsid w:val="000D1C6A"/>
    <w:rsid w:val="000E1ACB"/>
    <w:rsid w:val="000E2C80"/>
    <w:rsid w:val="000F1CE4"/>
    <w:rsid w:val="001060AC"/>
    <w:rsid w:val="001104C9"/>
    <w:rsid w:val="001223FA"/>
    <w:rsid w:val="00123843"/>
    <w:rsid w:val="00127B0B"/>
    <w:rsid w:val="00132033"/>
    <w:rsid w:val="001332FA"/>
    <w:rsid w:val="0014573B"/>
    <w:rsid w:val="001534B9"/>
    <w:rsid w:val="001557A2"/>
    <w:rsid w:val="00174685"/>
    <w:rsid w:val="00193DA1"/>
    <w:rsid w:val="00196B50"/>
    <w:rsid w:val="001B0868"/>
    <w:rsid w:val="001B1756"/>
    <w:rsid w:val="001B4689"/>
    <w:rsid w:val="001C0878"/>
    <w:rsid w:val="001C64E9"/>
    <w:rsid w:val="001E0BB2"/>
    <w:rsid w:val="001E34C6"/>
    <w:rsid w:val="001F0E45"/>
    <w:rsid w:val="001F36C0"/>
    <w:rsid w:val="00202EB1"/>
    <w:rsid w:val="00207A13"/>
    <w:rsid w:val="00210826"/>
    <w:rsid w:val="00212DAA"/>
    <w:rsid w:val="0021650B"/>
    <w:rsid w:val="0022299C"/>
    <w:rsid w:val="00244ED1"/>
    <w:rsid w:val="002521B5"/>
    <w:rsid w:val="002642C3"/>
    <w:rsid w:val="00267921"/>
    <w:rsid w:val="00270F96"/>
    <w:rsid w:val="00273029"/>
    <w:rsid w:val="00275F8B"/>
    <w:rsid w:val="00280090"/>
    <w:rsid w:val="0028343E"/>
    <w:rsid w:val="002A1F3F"/>
    <w:rsid w:val="002A26C4"/>
    <w:rsid w:val="002A514C"/>
    <w:rsid w:val="002A5685"/>
    <w:rsid w:val="002A743E"/>
    <w:rsid w:val="002B25F5"/>
    <w:rsid w:val="002B4C9D"/>
    <w:rsid w:val="002C6327"/>
    <w:rsid w:val="002D17C4"/>
    <w:rsid w:val="002D37E9"/>
    <w:rsid w:val="002D6916"/>
    <w:rsid w:val="002D6B4F"/>
    <w:rsid w:val="002F3162"/>
    <w:rsid w:val="002F41D5"/>
    <w:rsid w:val="00301B67"/>
    <w:rsid w:val="003062EE"/>
    <w:rsid w:val="00311157"/>
    <w:rsid w:val="003156FB"/>
    <w:rsid w:val="00321BC0"/>
    <w:rsid w:val="00322876"/>
    <w:rsid w:val="00326B28"/>
    <w:rsid w:val="0033478E"/>
    <w:rsid w:val="00337B48"/>
    <w:rsid w:val="00337F37"/>
    <w:rsid w:val="00343912"/>
    <w:rsid w:val="00346743"/>
    <w:rsid w:val="00353206"/>
    <w:rsid w:val="00361D53"/>
    <w:rsid w:val="00363800"/>
    <w:rsid w:val="003721C3"/>
    <w:rsid w:val="00372BD1"/>
    <w:rsid w:val="0037427F"/>
    <w:rsid w:val="00375057"/>
    <w:rsid w:val="0037591F"/>
    <w:rsid w:val="00380075"/>
    <w:rsid w:val="00392EC9"/>
    <w:rsid w:val="003B5976"/>
    <w:rsid w:val="003B5E74"/>
    <w:rsid w:val="003D10BE"/>
    <w:rsid w:val="003E43BC"/>
    <w:rsid w:val="003E5C5B"/>
    <w:rsid w:val="003F2DBB"/>
    <w:rsid w:val="003F4F54"/>
    <w:rsid w:val="0040115A"/>
    <w:rsid w:val="00402DBC"/>
    <w:rsid w:val="00407B83"/>
    <w:rsid w:val="004156D3"/>
    <w:rsid w:val="00417229"/>
    <w:rsid w:val="00417931"/>
    <w:rsid w:val="0042173A"/>
    <w:rsid w:val="00424FD7"/>
    <w:rsid w:val="00431980"/>
    <w:rsid w:val="00447F4A"/>
    <w:rsid w:val="00474055"/>
    <w:rsid w:val="004858ED"/>
    <w:rsid w:val="004B12FE"/>
    <w:rsid w:val="004B1929"/>
    <w:rsid w:val="004C3E47"/>
    <w:rsid w:val="004E2E09"/>
    <w:rsid w:val="00502F7B"/>
    <w:rsid w:val="00504E9A"/>
    <w:rsid w:val="00505109"/>
    <w:rsid w:val="0051136F"/>
    <w:rsid w:val="00523408"/>
    <w:rsid w:val="0055119E"/>
    <w:rsid w:val="00556B5E"/>
    <w:rsid w:val="005609DB"/>
    <w:rsid w:val="0056612E"/>
    <w:rsid w:val="00575F5F"/>
    <w:rsid w:val="00586EC9"/>
    <w:rsid w:val="0058797C"/>
    <w:rsid w:val="00587F25"/>
    <w:rsid w:val="005A69FB"/>
    <w:rsid w:val="005B710D"/>
    <w:rsid w:val="005C19ED"/>
    <w:rsid w:val="005C4F07"/>
    <w:rsid w:val="005D5513"/>
    <w:rsid w:val="005D6D9E"/>
    <w:rsid w:val="005E4A5A"/>
    <w:rsid w:val="005F1633"/>
    <w:rsid w:val="005F2446"/>
    <w:rsid w:val="005F3A54"/>
    <w:rsid w:val="005F5FFA"/>
    <w:rsid w:val="006054F0"/>
    <w:rsid w:val="006218EB"/>
    <w:rsid w:val="00622849"/>
    <w:rsid w:val="00632C0F"/>
    <w:rsid w:val="00637DA8"/>
    <w:rsid w:val="00642A40"/>
    <w:rsid w:val="0064306E"/>
    <w:rsid w:val="00644E8B"/>
    <w:rsid w:val="00661DA6"/>
    <w:rsid w:val="00674B4A"/>
    <w:rsid w:val="00677C59"/>
    <w:rsid w:val="0068460D"/>
    <w:rsid w:val="006B17B0"/>
    <w:rsid w:val="006B5FE0"/>
    <w:rsid w:val="006B6D30"/>
    <w:rsid w:val="006C676C"/>
    <w:rsid w:val="006D33E7"/>
    <w:rsid w:val="006E474C"/>
    <w:rsid w:val="006E75FA"/>
    <w:rsid w:val="006F3D3E"/>
    <w:rsid w:val="006F6FAA"/>
    <w:rsid w:val="007057A5"/>
    <w:rsid w:val="00710E3C"/>
    <w:rsid w:val="00735467"/>
    <w:rsid w:val="00752605"/>
    <w:rsid w:val="0075419E"/>
    <w:rsid w:val="00754F8E"/>
    <w:rsid w:val="0075775D"/>
    <w:rsid w:val="007625A5"/>
    <w:rsid w:val="007774AB"/>
    <w:rsid w:val="007869A3"/>
    <w:rsid w:val="007A0C41"/>
    <w:rsid w:val="007B34CC"/>
    <w:rsid w:val="007B4496"/>
    <w:rsid w:val="007C2862"/>
    <w:rsid w:val="007D55C7"/>
    <w:rsid w:val="007E4064"/>
    <w:rsid w:val="007F5FCC"/>
    <w:rsid w:val="007F6A45"/>
    <w:rsid w:val="007F6F41"/>
    <w:rsid w:val="00800A51"/>
    <w:rsid w:val="00810CC5"/>
    <w:rsid w:val="00816EFD"/>
    <w:rsid w:val="00822BCD"/>
    <w:rsid w:val="00826672"/>
    <w:rsid w:val="00845630"/>
    <w:rsid w:val="00864F83"/>
    <w:rsid w:val="008650D2"/>
    <w:rsid w:val="008652E0"/>
    <w:rsid w:val="00866C74"/>
    <w:rsid w:val="0087042A"/>
    <w:rsid w:val="00874023"/>
    <w:rsid w:val="008820C0"/>
    <w:rsid w:val="0088476D"/>
    <w:rsid w:val="00884C4C"/>
    <w:rsid w:val="0089023C"/>
    <w:rsid w:val="00891583"/>
    <w:rsid w:val="008A0C02"/>
    <w:rsid w:val="008A50E4"/>
    <w:rsid w:val="008A7206"/>
    <w:rsid w:val="008C03FE"/>
    <w:rsid w:val="008C2964"/>
    <w:rsid w:val="008C4BF2"/>
    <w:rsid w:val="008D0859"/>
    <w:rsid w:val="008D2FB5"/>
    <w:rsid w:val="008F04D4"/>
    <w:rsid w:val="00902C50"/>
    <w:rsid w:val="00903299"/>
    <w:rsid w:val="00903C7D"/>
    <w:rsid w:val="0091284D"/>
    <w:rsid w:val="00922919"/>
    <w:rsid w:val="009419AD"/>
    <w:rsid w:val="00943ADA"/>
    <w:rsid w:val="0094751C"/>
    <w:rsid w:val="00960FF3"/>
    <w:rsid w:val="00966FBB"/>
    <w:rsid w:val="00976B90"/>
    <w:rsid w:val="00986C06"/>
    <w:rsid w:val="009921BF"/>
    <w:rsid w:val="00996417"/>
    <w:rsid w:val="009A0225"/>
    <w:rsid w:val="009A32B7"/>
    <w:rsid w:val="009A38C7"/>
    <w:rsid w:val="009B0039"/>
    <w:rsid w:val="009B2657"/>
    <w:rsid w:val="009B7DBF"/>
    <w:rsid w:val="009C44D3"/>
    <w:rsid w:val="009E0A71"/>
    <w:rsid w:val="009E0AD4"/>
    <w:rsid w:val="009E1592"/>
    <w:rsid w:val="009E4BC9"/>
    <w:rsid w:val="009F41B6"/>
    <w:rsid w:val="009F4D46"/>
    <w:rsid w:val="00A009BA"/>
    <w:rsid w:val="00A02642"/>
    <w:rsid w:val="00A15FA5"/>
    <w:rsid w:val="00A24AE9"/>
    <w:rsid w:val="00A26355"/>
    <w:rsid w:val="00A37CBB"/>
    <w:rsid w:val="00A37E7A"/>
    <w:rsid w:val="00A441E9"/>
    <w:rsid w:val="00A4503A"/>
    <w:rsid w:val="00A5335E"/>
    <w:rsid w:val="00A70070"/>
    <w:rsid w:val="00A71A61"/>
    <w:rsid w:val="00A84C67"/>
    <w:rsid w:val="00A91D91"/>
    <w:rsid w:val="00A9418A"/>
    <w:rsid w:val="00A978DD"/>
    <w:rsid w:val="00A97E9E"/>
    <w:rsid w:val="00AA33EA"/>
    <w:rsid w:val="00AB2802"/>
    <w:rsid w:val="00AB3B9A"/>
    <w:rsid w:val="00AC486B"/>
    <w:rsid w:val="00AE139A"/>
    <w:rsid w:val="00AE5E75"/>
    <w:rsid w:val="00AF3DB5"/>
    <w:rsid w:val="00B05603"/>
    <w:rsid w:val="00B06100"/>
    <w:rsid w:val="00B112A5"/>
    <w:rsid w:val="00B34177"/>
    <w:rsid w:val="00B349F3"/>
    <w:rsid w:val="00B36A89"/>
    <w:rsid w:val="00B375B4"/>
    <w:rsid w:val="00B40E99"/>
    <w:rsid w:val="00B41110"/>
    <w:rsid w:val="00B47075"/>
    <w:rsid w:val="00B55392"/>
    <w:rsid w:val="00B6088F"/>
    <w:rsid w:val="00B62B45"/>
    <w:rsid w:val="00B657F2"/>
    <w:rsid w:val="00B90F34"/>
    <w:rsid w:val="00B96C8F"/>
    <w:rsid w:val="00B9764D"/>
    <w:rsid w:val="00BA25F8"/>
    <w:rsid w:val="00BA5735"/>
    <w:rsid w:val="00BA6636"/>
    <w:rsid w:val="00BA724D"/>
    <w:rsid w:val="00BB1C9D"/>
    <w:rsid w:val="00BB34B8"/>
    <w:rsid w:val="00BB4792"/>
    <w:rsid w:val="00BC0057"/>
    <w:rsid w:val="00BC1DA5"/>
    <w:rsid w:val="00BC2729"/>
    <w:rsid w:val="00BD6DBC"/>
    <w:rsid w:val="00BE2470"/>
    <w:rsid w:val="00BE4E0E"/>
    <w:rsid w:val="00BE5AE0"/>
    <w:rsid w:val="00C040D7"/>
    <w:rsid w:val="00C050E8"/>
    <w:rsid w:val="00C17CEE"/>
    <w:rsid w:val="00C4770E"/>
    <w:rsid w:val="00C505AF"/>
    <w:rsid w:val="00C51AB5"/>
    <w:rsid w:val="00C639EC"/>
    <w:rsid w:val="00C72F2D"/>
    <w:rsid w:val="00C745D2"/>
    <w:rsid w:val="00CB4E49"/>
    <w:rsid w:val="00CC2166"/>
    <w:rsid w:val="00CC5DA9"/>
    <w:rsid w:val="00CD432D"/>
    <w:rsid w:val="00CD47BC"/>
    <w:rsid w:val="00CE0EC7"/>
    <w:rsid w:val="00CF166F"/>
    <w:rsid w:val="00D03D11"/>
    <w:rsid w:val="00D05969"/>
    <w:rsid w:val="00D12ECE"/>
    <w:rsid w:val="00D459C1"/>
    <w:rsid w:val="00D47707"/>
    <w:rsid w:val="00D50E8B"/>
    <w:rsid w:val="00D51323"/>
    <w:rsid w:val="00D51CA9"/>
    <w:rsid w:val="00D5644D"/>
    <w:rsid w:val="00D613CA"/>
    <w:rsid w:val="00D645B2"/>
    <w:rsid w:val="00D65241"/>
    <w:rsid w:val="00D845BD"/>
    <w:rsid w:val="00D85DB2"/>
    <w:rsid w:val="00D872BB"/>
    <w:rsid w:val="00D93E2C"/>
    <w:rsid w:val="00DA37E3"/>
    <w:rsid w:val="00DA43ED"/>
    <w:rsid w:val="00DA5F61"/>
    <w:rsid w:val="00DB21DD"/>
    <w:rsid w:val="00DB534A"/>
    <w:rsid w:val="00DB5BB6"/>
    <w:rsid w:val="00DC67ED"/>
    <w:rsid w:val="00DD41CB"/>
    <w:rsid w:val="00DD5DFB"/>
    <w:rsid w:val="00DE062F"/>
    <w:rsid w:val="00DE171C"/>
    <w:rsid w:val="00DE75EA"/>
    <w:rsid w:val="00DF2B11"/>
    <w:rsid w:val="00E0303C"/>
    <w:rsid w:val="00E102AA"/>
    <w:rsid w:val="00E16AEC"/>
    <w:rsid w:val="00E2711D"/>
    <w:rsid w:val="00E276C7"/>
    <w:rsid w:val="00E33F3B"/>
    <w:rsid w:val="00E43C34"/>
    <w:rsid w:val="00E659AC"/>
    <w:rsid w:val="00E66BD4"/>
    <w:rsid w:val="00E7755D"/>
    <w:rsid w:val="00E81AE9"/>
    <w:rsid w:val="00E86521"/>
    <w:rsid w:val="00E86F43"/>
    <w:rsid w:val="00E87A96"/>
    <w:rsid w:val="00E87C03"/>
    <w:rsid w:val="00E90747"/>
    <w:rsid w:val="00E92C03"/>
    <w:rsid w:val="00E94336"/>
    <w:rsid w:val="00E94E04"/>
    <w:rsid w:val="00EA02B2"/>
    <w:rsid w:val="00EA1D0D"/>
    <w:rsid w:val="00EA445C"/>
    <w:rsid w:val="00EB317A"/>
    <w:rsid w:val="00EB6A7F"/>
    <w:rsid w:val="00EC31CB"/>
    <w:rsid w:val="00ED385E"/>
    <w:rsid w:val="00ED5E92"/>
    <w:rsid w:val="00EE478A"/>
    <w:rsid w:val="00EF2AA2"/>
    <w:rsid w:val="00F1096C"/>
    <w:rsid w:val="00F12E45"/>
    <w:rsid w:val="00F16194"/>
    <w:rsid w:val="00F2048F"/>
    <w:rsid w:val="00F30079"/>
    <w:rsid w:val="00F307D4"/>
    <w:rsid w:val="00F32099"/>
    <w:rsid w:val="00F3452C"/>
    <w:rsid w:val="00F41245"/>
    <w:rsid w:val="00F52B42"/>
    <w:rsid w:val="00F542A4"/>
    <w:rsid w:val="00F54544"/>
    <w:rsid w:val="00F64426"/>
    <w:rsid w:val="00F669F1"/>
    <w:rsid w:val="00F67C09"/>
    <w:rsid w:val="00F70435"/>
    <w:rsid w:val="00F719ED"/>
    <w:rsid w:val="00F72E36"/>
    <w:rsid w:val="00F812F1"/>
    <w:rsid w:val="00F83634"/>
    <w:rsid w:val="00F85D9F"/>
    <w:rsid w:val="00FA55A6"/>
    <w:rsid w:val="00FB4A37"/>
    <w:rsid w:val="00FB6915"/>
    <w:rsid w:val="00FE3149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spacing w:before="120" w:after="120"/>
      <w:outlineLvl w:val="0"/>
    </w:pPr>
    <w:rPr>
      <w:b/>
      <w:color w:val="000000"/>
      <w:spacing w:val="-6"/>
      <w:sz w:val="26"/>
    </w:rPr>
  </w:style>
  <w:style w:type="paragraph" w:styleId="Ttulo2">
    <w:name w:val="heading 2"/>
    <w:basedOn w:val="Normal"/>
    <w:next w:val="Normal"/>
    <w:qFormat/>
    <w:pPr>
      <w:keepNext/>
      <w:spacing w:before="120" w:after="120"/>
      <w:outlineLvl w:val="1"/>
    </w:pPr>
    <w:rPr>
      <w:b/>
      <w:color w:val="000000"/>
      <w:spacing w:val="-6"/>
    </w:rPr>
  </w:style>
  <w:style w:type="paragraph" w:styleId="Ttulo3">
    <w:name w:val="heading 3"/>
    <w:basedOn w:val="Normal"/>
    <w:next w:val="Normal"/>
    <w:qFormat/>
    <w:pPr>
      <w:keepNext/>
      <w:spacing w:before="12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pacing w:val="-6"/>
    </w:rPr>
  </w:style>
  <w:style w:type="paragraph" w:styleId="Ttulo5">
    <w:name w:val="heading 5"/>
    <w:basedOn w:val="Normal"/>
    <w:next w:val="Normal"/>
    <w:qFormat/>
    <w:pPr>
      <w:keepNext/>
      <w:outlineLvl w:val="4"/>
    </w:pPr>
  </w:style>
  <w:style w:type="paragraph" w:styleId="Ttulo6">
    <w:name w:val="heading 6"/>
    <w:basedOn w:val="Normal"/>
    <w:next w:val="Normal"/>
    <w:qFormat/>
    <w:pPr>
      <w:keepNext/>
      <w:outlineLvl w:val="5"/>
    </w:pPr>
  </w:style>
  <w:style w:type="paragraph" w:styleId="Ttulo7">
    <w:name w:val="heading 7"/>
    <w:basedOn w:val="Normal"/>
    <w:next w:val="Normal"/>
    <w:qFormat/>
    <w:pPr>
      <w:keepNext/>
      <w:outlineLvl w:val="6"/>
    </w:pPr>
  </w:style>
  <w:style w:type="paragraph" w:styleId="Ttulo8">
    <w:name w:val="heading 8"/>
    <w:basedOn w:val="Normal"/>
    <w:next w:val="Normal"/>
    <w:qFormat/>
    <w:pPr>
      <w:keepNext/>
      <w:outlineLvl w:val="7"/>
    </w:pPr>
  </w:style>
  <w:style w:type="paragraph" w:styleId="Ttulo9">
    <w:name w:val="heading 9"/>
    <w:basedOn w:val="Normal"/>
    <w:next w:val="Normal"/>
    <w:qFormat/>
    <w:pPr>
      <w:keepNext/>
      <w:ind w:left="-88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pPr>
      <w:jc w:val="right"/>
    </w:pPr>
    <w:rPr>
      <w:b/>
      <w:color w:val="008080"/>
    </w:rPr>
  </w:style>
  <w:style w:type="character" w:styleId="Nmerodepgina">
    <w:name w:val="page number"/>
    <w:semiHidden/>
    <w:rPr>
      <w:rFonts w:ascii="Arial" w:hAnsi="Arial"/>
      <w:sz w:val="20"/>
    </w:rPr>
  </w:style>
  <w:style w:type="character" w:styleId="Refdenotaderodap">
    <w:name w:val="footnote reference"/>
    <w:uiPriority w:val="99"/>
    <w:semiHidden/>
    <w:rPr>
      <w:vertAlign w:val="superscript"/>
    </w:rPr>
  </w:style>
  <w:style w:type="paragraph" w:styleId="Corpodetexto2">
    <w:name w:val="Body Text 2"/>
    <w:basedOn w:val="Normal"/>
    <w:semiHidden/>
    <w:pPr>
      <w:spacing w:after="120"/>
      <w:jc w:val="center"/>
    </w:pPr>
    <w:rPr>
      <w:b/>
      <w:sz w:val="28"/>
    </w:rPr>
  </w:style>
  <w:style w:type="paragraph" w:styleId="Recuodecorpodetexto3">
    <w:name w:val="Body Text Indent 3"/>
    <w:basedOn w:val="Normal"/>
    <w:semiHidden/>
    <w:pPr>
      <w:ind w:firstLine="1134"/>
      <w:jc w:val="both"/>
    </w:pPr>
  </w:style>
  <w:style w:type="paragraph" w:styleId="Textodenotaderodap">
    <w:name w:val="footnote text"/>
    <w:basedOn w:val="Normal"/>
    <w:link w:val="TextodenotaderodapChar"/>
    <w:semiHidden/>
    <w:rPr>
      <w:rFonts w:ascii="Times New Roman" w:hAnsi="Times New Roman"/>
      <w:sz w:val="20"/>
    </w:rPr>
  </w:style>
  <w:style w:type="paragraph" w:styleId="Recuodecorpodetexto">
    <w:name w:val="Body Text Indent"/>
    <w:basedOn w:val="Normal"/>
    <w:semiHidden/>
    <w:pPr>
      <w:ind w:firstLine="709"/>
      <w:jc w:val="both"/>
    </w:pPr>
    <w:rPr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Pr>
      <w:b/>
    </w:rPr>
  </w:style>
  <w:style w:type="character" w:customStyle="1" w:styleId="Hiperlink">
    <w:name w:val="Hiperlink"/>
    <w:rPr>
      <w:color w:val="0000FF"/>
      <w:u w:val="single"/>
    </w:rPr>
  </w:style>
  <w:style w:type="paragraph" w:styleId="Subttulo">
    <w:name w:val="Subtitle"/>
    <w:basedOn w:val="Normal"/>
    <w:qFormat/>
    <w:pPr>
      <w:spacing w:before="144" w:after="144"/>
      <w:jc w:val="both"/>
    </w:pPr>
    <w:rPr>
      <w:b/>
      <w:snapToGrid w:val="0"/>
      <w:color w:val="000000"/>
      <w:sz w:val="28"/>
    </w:rPr>
  </w:style>
  <w:style w:type="character" w:customStyle="1" w:styleId="TextodenotaderodapChar">
    <w:name w:val="Texto de nota de rodapé Char"/>
    <w:link w:val="Textodenotaderodap"/>
    <w:semiHidden/>
    <w:rsid w:val="00DA43E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2EC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92EC9"/>
    <w:rPr>
      <w:rFonts w:ascii="Arial" w:hAnsi="Arial"/>
      <w:sz w:val="24"/>
    </w:rPr>
  </w:style>
  <w:style w:type="paragraph" w:customStyle="1" w:styleId="Corpo">
    <w:name w:val="Corpo"/>
    <w:rsid w:val="005C19ED"/>
    <w:pPr>
      <w:spacing w:before="72"/>
      <w:ind w:firstLine="2160"/>
      <w:jc w:val="both"/>
    </w:pPr>
    <w:rPr>
      <w:rFonts w:ascii="Courier" w:hAnsi="Courier"/>
      <w:snapToGrid w:val="0"/>
      <w:color w:val="000000"/>
      <w:sz w:val="24"/>
      <w:lang w:val="pt-BR" w:eastAsia="pt-BR"/>
    </w:rPr>
  </w:style>
  <w:style w:type="paragraph" w:customStyle="1" w:styleId="Blockquote">
    <w:name w:val="Blockquote"/>
    <w:basedOn w:val="Normal"/>
    <w:rsid w:val="00AA33EA"/>
    <w:pPr>
      <w:spacing w:before="100" w:after="100"/>
      <w:ind w:left="360" w:right="360"/>
    </w:pPr>
    <w:rPr>
      <w:rFonts w:ascii="Times New Roman" w:eastAsia="Calibri" w:hAnsi="Times New Roman"/>
      <w:szCs w:val="24"/>
      <w:lang w:eastAsia="ar-SA"/>
    </w:rPr>
  </w:style>
  <w:style w:type="paragraph" w:customStyle="1" w:styleId="texto1">
    <w:name w:val="texto1"/>
    <w:basedOn w:val="Normal"/>
    <w:rsid w:val="00AA33EA"/>
    <w:pPr>
      <w:spacing w:line="360" w:lineRule="auto"/>
      <w:ind w:firstLine="1418"/>
      <w:jc w:val="both"/>
    </w:pPr>
    <w:rPr>
      <w:rFonts w:ascii="Courier New" w:eastAsia="Calibri" w:hAnsi="Courier New" w:cs="Courier New"/>
      <w:b/>
      <w:bCs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F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2FB5"/>
    <w:rPr>
      <w:rFonts w:ascii="Tahoma" w:hAnsi="Tahoma" w:cs="Tahoma"/>
      <w:sz w:val="16"/>
      <w:szCs w:val="16"/>
    </w:rPr>
  </w:style>
  <w:style w:type="paragraph" w:customStyle="1" w:styleId="Corponico">
    <w:name w:val="Corpo Único"/>
    <w:rsid w:val="00D845BD"/>
    <w:rPr>
      <w:rFonts w:ascii="Arial" w:hAnsi="Arial"/>
      <w:snapToGrid w:val="0"/>
      <w:color w:val="000000"/>
      <w:sz w:val="24"/>
      <w:lang w:val="pt-BR" w:eastAsia="pt-BR"/>
    </w:rPr>
  </w:style>
  <w:style w:type="character" w:styleId="nfase">
    <w:name w:val="Emphasis"/>
    <w:qFormat/>
    <w:rsid w:val="000A4A09"/>
    <w:rPr>
      <w:i/>
    </w:rPr>
  </w:style>
  <w:style w:type="table" w:styleId="Tabelacomgrade">
    <w:name w:val="Table Grid"/>
    <w:basedOn w:val="Tabelanormal"/>
    <w:uiPriority w:val="59"/>
    <w:rsid w:val="00D56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rsid w:val="007625A5"/>
  </w:style>
  <w:style w:type="character" w:customStyle="1" w:styleId="apple-converted-space">
    <w:name w:val="apple-converted-space"/>
    <w:rsid w:val="001060AC"/>
  </w:style>
  <w:style w:type="paragraph" w:customStyle="1" w:styleId="Capatexto">
    <w:name w:val="Capa (texto)"/>
    <w:rsid w:val="00D51323"/>
    <w:rPr>
      <w:color w:val="008080"/>
      <w:spacing w:val="-8"/>
      <w:lang w:val="pt-BR" w:eastAsia="pt-BR"/>
    </w:rPr>
  </w:style>
  <w:style w:type="paragraph" w:customStyle="1" w:styleId="TabelaCabeaLinha">
    <w:name w:val="Tabela Cabeça Linha"/>
    <w:rsid w:val="00D51323"/>
    <w:pPr>
      <w:ind w:left="57" w:right="57"/>
    </w:pPr>
    <w:rPr>
      <w:rFonts w:ascii="Arial Narrow" w:hAnsi="Arial Narrow"/>
      <w:b/>
      <w:color w:val="000000"/>
      <w:lang w:val="pt-BR" w:eastAsia="pt-BR"/>
    </w:rPr>
  </w:style>
  <w:style w:type="character" w:customStyle="1" w:styleId="RodapChar">
    <w:name w:val="Rodapé Char"/>
    <w:link w:val="Rodap"/>
    <w:uiPriority w:val="99"/>
    <w:rsid w:val="00B55392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spacing w:before="120" w:after="120"/>
      <w:outlineLvl w:val="0"/>
    </w:pPr>
    <w:rPr>
      <w:b/>
      <w:color w:val="000000"/>
      <w:spacing w:val="-6"/>
      <w:sz w:val="26"/>
    </w:rPr>
  </w:style>
  <w:style w:type="paragraph" w:styleId="Ttulo2">
    <w:name w:val="heading 2"/>
    <w:basedOn w:val="Normal"/>
    <w:next w:val="Normal"/>
    <w:qFormat/>
    <w:pPr>
      <w:keepNext/>
      <w:spacing w:before="120" w:after="120"/>
      <w:outlineLvl w:val="1"/>
    </w:pPr>
    <w:rPr>
      <w:b/>
      <w:color w:val="000000"/>
      <w:spacing w:val="-6"/>
    </w:rPr>
  </w:style>
  <w:style w:type="paragraph" w:styleId="Ttulo3">
    <w:name w:val="heading 3"/>
    <w:basedOn w:val="Normal"/>
    <w:next w:val="Normal"/>
    <w:qFormat/>
    <w:pPr>
      <w:keepNext/>
      <w:spacing w:before="12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pacing w:val="-6"/>
    </w:rPr>
  </w:style>
  <w:style w:type="paragraph" w:styleId="Ttulo5">
    <w:name w:val="heading 5"/>
    <w:basedOn w:val="Normal"/>
    <w:next w:val="Normal"/>
    <w:qFormat/>
    <w:pPr>
      <w:keepNext/>
      <w:outlineLvl w:val="4"/>
    </w:pPr>
  </w:style>
  <w:style w:type="paragraph" w:styleId="Ttulo6">
    <w:name w:val="heading 6"/>
    <w:basedOn w:val="Normal"/>
    <w:next w:val="Normal"/>
    <w:qFormat/>
    <w:pPr>
      <w:keepNext/>
      <w:outlineLvl w:val="5"/>
    </w:pPr>
  </w:style>
  <w:style w:type="paragraph" w:styleId="Ttulo7">
    <w:name w:val="heading 7"/>
    <w:basedOn w:val="Normal"/>
    <w:next w:val="Normal"/>
    <w:qFormat/>
    <w:pPr>
      <w:keepNext/>
      <w:outlineLvl w:val="6"/>
    </w:pPr>
  </w:style>
  <w:style w:type="paragraph" w:styleId="Ttulo8">
    <w:name w:val="heading 8"/>
    <w:basedOn w:val="Normal"/>
    <w:next w:val="Normal"/>
    <w:qFormat/>
    <w:pPr>
      <w:keepNext/>
      <w:outlineLvl w:val="7"/>
    </w:pPr>
  </w:style>
  <w:style w:type="paragraph" w:styleId="Ttulo9">
    <w:name w:val="heading 9"/>
    <w:basedOn w:val="Normal"/>
    <w:next w:val="Normal"/>
    <w:qFormat/>
    <w:pPr>
      <w:keepNext/>
      <w:ind w:left="-88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pPr>
      <w:jc w:val="right"/>
    </w:pPr>
    <w:rPr>
      <w:b/>
      <w:color w:val="008080"/>
    </w:rPr>
  </w:style>
  <w:style w:type="character" w:styleId="Nmerodepgina">
    <w:name w:val="page number"/>
    <w:semiHidden/>
    <w:rPr>
      <w:rFonts w:ascii="Arial" w:hAnsi="Arial"/>
      <w:sz w:val="20"/>
    </w:rPr>
  </w:style>
  <w:style w:type="character" w:styleId="Refdenotaderodap">
    <w:name w:val="footnote reference"/>
    <w:uiPriority w:val="99"/>
    <w:semiHidden/>
    <w:rPr>
      <w:vertAlign w:val="superscript"/>
    </w:rPr>
  </w:style>
  <w:style w:type="paragraph" w:styleId="Corpodetexto2">
    <w:name w:val="Body Text 2"/>
    <w:basedOn w:val="Normal"/>
    <w:semiHidden/>
    <w:pPr>
      <w:spacing w:after="120"/>
      <w:jc w:val="center"/>
    </w:pPr>
    <w:rPr>
      <w:b/>
      <w:sz w:val="28"/>
    </w:rPr>
  </w:style>
  <w:style w:type="paragraph" w:styleId="Recuodecorpodetexto3">
    <w:name w:val="Body Text Indent 3"/>
    <w:basedOn w:val="Normal"/>
    <w:semiHidden/>
    <w:pPr>
      <w:ind w:firstLine="1134"/>
      <w:jc w:val="both"/>
    </w:pPr>
  </w:style>
  <w:style w:type="paragraph" w:styleId="Textodenotaderodap">
    <w:name w:val="footnote text"/>
    <w:basedOn w:val="Normal"/>
    <w:link w:val="TextodenotaderodapChar"/>
    <w:semiHidden/>
    <w:rPr>
      <w:rFonts w:ascii="Times New Roman" w:hAnsi="Times New Roman"/>
      <w:sz w:val="20"/>
    </w:rPr>
  </w:style>
  <w:style w:type="paragraph" w:styleId="Recuodecorpodetexto">
    <w:name w:val="Body Text Indent"/>
    <w:basedOn w:val="Normal"/>
    <w:semiHidden/>
    <w:pPr>
      <w:ind w:firstLine="709"/>
      <w:jc w:val="both"/>
    </w:pPr>
    <w:rPr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Pr>
      <w:b/>
    </w:rPr>
  </w:style>
  <w:style w:type="character" w:customStyle="1" w:styleId="Hiperlink">
    <w:name w:val="Hiperlink"/>
    <w:rPr>
      <w:color w:val="0000FF"/>
      <w:u w:val="single"/>
    </w:rPr>
  </w:style>
  <w:style w:type="paragraph" w:styleId="Subttulo">
    <w:name w:val="Subtitle"/>
    <w:basedOn w:val="Normal"/>
    <w:qFormat/>
    <w:pPr>
      <w:spacing w:before="144" w:after="144"/>
      <w:jc w:val="both"/>
    </w:pPr>
    <w:rPr>
      <w:b/>
      <w:snapToGrid w:val="0"/>
      <w:color w:val="000000"/>
      <w:sz w:val="28"/>
    </w:rPr>
  </w:style>
  <w:style w:type="character" w:customStyle="1" w:styleId="TextodenotaderodapChar">
    <w:name w:val="Texto de nota de rodapé Char"/>
    <w:link w:val="Textodenotaderodap"/>
    <w:semiHidden/>
    <w:rsid w:val="00DA43E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2EC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92EC9"/>
    <w:rPr>
      <w:rFonts w:ascii="Arial" w:hAnsi="Arial"/>
      <w:sz w:val="24"/>
    </w:rPr>
  </w:style>
  <w:style w:type="paragraph" w:customStyle="1" w:styleId="Corpo">
    <w:name w:val="Corpo"/>
    <w:rsid w:val="005C19ED"/>
    <w:pPr>
      <w:spacing w:before="72"/>
      <w:ind w:firstLine="2160"/>
      <w:jc w:val="both"/>
    </w:pPr>
    <w:rPr>
      <w:rFonts w:ascii="Courier" w:hAnsi="Courier"/>
      <w:snapToGrid w:val="0"/>
      <w:color w:val="000000"/>
      <w:sz w:val="24"/>
      <w:lang w:val="pt-BR" w:eastAsia="pt-BR"/>
    </w:rPr>
  </w:style>
  <w:style w:type="paragraph" w:customStyle="1" w:styleId="Blockquote">
    <w:name w:val="Blockquote"/>
    <w:basedOn w:val="Normal"/>
    <w:rsid w:val="00AA33EA"/>
    <w:pPr>
      <w:spacing w:before="100" w:after="100"/>
      <w:ind w:left="360" w:right="360"/>
    </w:pPr>
    <w:rPr>
      <w:rFonts w:ascii="Times New Roman" w:eastAsia="Calibri" w:hAnsi="Times New Roman"/>
      <w:szCs w:val="24"/>
      <w:lang w:eastAsia="ar-SA"/>
    </w:rPr>
  </w:style>
  <w:style w:type="paragraph" w:customStyle="1" w:styleId="texto1">
    <w:name w:val="texto1"/>
    <w:basedOn w:val="Normal"/>
    <w:rsid w:val="00AA33EA"/>
    <w:pPr>
      <w:spacing w:line="360" w:lineRule="auto"/>
      <w:ind w:firstLine="1418"/>
      <w:jc w:val="both"/>
    </w:pPr>
    <w:rPr>
      <w:rFonts w:ascii="Courier New" w:eastAsia="Calibri" w:hAnsi="Courier New" w:cs="Courier New"/>
      <w:b/>
      <w:bCs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F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2FB5"/>
    <w:rPr>
      <w:rFonts w:ascii="Tahoma" w:hAnsi="Tahoma" w:cs="Tahoma"/>
      <w:sz w:val="16"/>
      <w:szCs w:val="16"/>
    </w:rPr>
  </w:style>
  <w:style w:type="paragraph" w:customStyle="1" w:styleId="Corponico">
    <w:name w:val="Corpo Único"/>
    <w:rsid w:val="00D845BD"/>
    <w:rPr>
      <w:rFonts w:ascii="Arial" w:hAnsi="Arial"/>
      <w:snapToGrid w:val="0"/>
      <w:color w:val="000000"/>
      <w:sz w:val="24"/>
      <w:lang w:val="pt-BR" w:eastAsia="pt-BR"/>
    </w:rPr>
  </w:style>
  <w:style w:type="character" w:styleId="nfase">
    <w:name w:val="Emphasis"/>
    <w:qFormat/>
    <w:rsid w:val="000A4A09"/>
    <w:rPr>
      <w:i/>
    </w:rPr>
  </w:style>
  <w:style w:type="table" w:styleId="Tabelacomgrade">
    <w:name w:val="Table Grid"/>
    <w:basedOn w:val="Tabelanormal"/>
    <w:uiPriority w:val="59"/>
    <w:rsid w:val="00D56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rsid w:val="007625A5"/>
  </w:style>
  <w:style w:type="character" w:customStyle="1" w:styleId="apple-converted-space">
    <w:name w:val="apple-converted-space"/>
    <w:rsid w:val="001060AC"/>
  </w:style>
  <w:style w:type="paragraph" w:customStyle="1" w:styleId="Capatexto">
    <w:name w:val="Capa (texto)"/>
    <w:rsid w:val="00D51323"/>
    <w:rPr>
      <w:color w:val="008080"/>
      <w:spacing w:val="-8"/>
      <w:lang w:val="pt-BR" w:eastAsia="pt-BR"/>
    </w:rPr>
  </w:style>
  <w:style w:type="paragraph" w:customStyle="1" w:styleId="TabelaCabeaLinha">
    <w:name w:val="Tabela Cabeça Linha"/>
    <w:rsid w:val="00D51323"/>
    <w:pPr>
      <w:ind w:left="57" w:right="57"/>
    </w:pPr>
    <w:rPr>
      <w:rFonts w:ascii="Arial Narrow" w:hAnsi="Arial Narrow"/>
      <w:b/>
      <w:color w:val="000000"/>
      <w:lang w:val="pt-BR" w:eastAsia="pt-BR"/>
    </w:rPr>
  </w:style>
  <w:style w:type="character" w:customStyle="1" w:styleId="RodapChar">
    <w:name w:val="Rodapé Char"/>
    <w:link w:val="Rodap"/>
    <w:uiPriority w:val="99"/>
    <w:rsid w:val="00B55392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onof@camara.gov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61398F4-9BA5-4519-B36D-5CC2D73A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998</Words>
  <Characters>5395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6381</CharactersWithSpaces>
  <SharedDoc>false</SharedDoc>
  <HLinks>
    <vt:vector size="6" baseType="variant">
      <vt:variant>
        <vt:i4>6815768</vt:i4>
      </vt:variant>
      <vt:variant>
        <vt:i4>0</vt:i4>
      </vt:variant>
      <vt:variant>
        <vt:i4>0</vt:i4>
      </vt:variant>
      <vt:variant>
        <vt:i4>5</vt:i4>
      </vt:variant>
      <vt:variant>
        <vt:lpwstr>mailto:conof@camara.gov.br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P_4242</dc:creator>
  <cp:lastModifiedBy>Maria do Socorro de Lacerda Dantas</cp:lastModifiedBy>
  <cp:revision>2</cp:revision>
  <cp:lastPrinted>2018-04-16T13:56:00Z</cp:lastPrinted>
  <dcterms:created xsi:type="dcterms:W3CDTF">2019-03-20T13:27:00Z</dcterms:created>
  <dcterms:modified xsi:type="dcterms:W3CDTF">2019-03-20T13:27:00Z</dcterms:modified>
</cp:coreProperties>
</file>