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13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8F0906" w:rsidRPr="00FA45F2" w:rsidRDefault="008F0906" w:rsidP="00FA45F2">
      <w:pPr>
        <w:pStyle w:val="Cabealho"/>
        <w:jc w:val="center"/>
        <w:rPr>
          <w:b/>
          <w:sz w:val="28"/>
          <w:szCs w:val="28"/>
        </w:rPr>
      </w:pPr>
      <w:r w:rsidRPr="00FA45F2">
        <w:rPr>
          <w:b/>
          <w:sz w:val="28"/>
          <w:szCs w:val="28"/>
        </w:rPr>
        <w:t>PORTARIA Nº 6, DE 20/01/2025</w:t>
      </w:r>
    </w:p>
    <w:p w:rsidR="008F0906" w:rsidRPr="008F0906" w:rsidRDefault="008F0906" w:rsidP="008F0906">
      <w:pPr>
        <w:pStyle w:val="Cabealho"/>
        <w:jc w:val="both"/>
        <w:rPr>
          <w:sz w:val="24"/>
          <w:szCs w:val="24"/>
        </w:rPr>
      </w:pPr>
    </w:p>
    <w:p w:rsidR="008F0906" w:rsidRPr="008F0906" w:rsidRDefault="00FA45F2" w:rsidP="00FA45F2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8F0906" w:rsidRPr="008F0906">
        <w:rPr>
          <w:sz w:val="24"/>
          <w:szCs w:val="24"/>
        </w:rPr>
        <w:t>isciplina a criação e o funcionamento de Grupo de Pesquisa e Extensão na Câmara dos Deputados.</w:t>
      </w:r>
    </w:p>
    <w:p w:rsidR="008F0906" w:rsidRPr="008F0906" w:rsidRDefault="008F0906" w:rsidP="008F0906">
      <w:pPr>
        <w:pStyle w:val="Cabealho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 </w:t>
      </w:r>
    </w:p>
    <w:p w:rsidR="008F0906" w:rsidRPr="008F0906" w:rsidRDefault="008F0906" w:rsidP="008F0906">
      <w:pPr>
        <w:pStyle w:val="Cabealho"/>
        <w:jc w:val="both"/>
        <w:rPr>
          <w:sz w:val="24"/>
          <w:szCs w:val="24"/>
        </w:rPr>
      </w:pPr>
    </w:p>
    <w:p w:rsidR="008F0906" w:rsidRPr="008F0906" w:rsidRDefault="008F0906" w:rsidP="008F0906">
      <w:pPr>
        <w:pStyle w:val="Cabealho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FA45F2">
        <w:rPr>
          <w:b/>
          <w:sz w:val="24"/>
          <w:szCs w:val="24"/>
        </w:rPr>
        <w:t>O DIRETOR-GERAL DA CÂMARA DOS DEPUTADOS</w:t>
      </w:r>
      <w:r w:rsidRPr="008F0906">
        <w:rPr>
          <w:sz w:val="24"/>
          <w:szCs w:val="24"/>
        </w:rPr>
        <w:t>, no uso das atribuições que lhe confere o artigo 147, inciso XV, da Resolução nº 20, de 30 de novembro de 1971, considerando o disposto no Regulamento do Centro de Formação, Treinamento e Aperfeiçoamento (</w:t>
      </w:r>
      <w:proofErr w:type="spellStart"/>
      <w:r w:rsidRPr="008F0906">
        <w:rPr>
          <w:sz w:val="24"/>
          <w:szCs w:val="24"/>
        </w:rPr>
        <w:t>Cefor</w:t>
      </w:r>
      <w:proofErr w:type="spellEnd"/>
      <w:r w:rsidRPr="008F0906">
        <w:rPr>
          <w:sz w:val="24"/>
          <w:szCs w:val="24"/>
        </w:rPr>
        <w:t>), aprovado pelo Ato da Mesa nº 41, de 21 de junho de 2000, em conformidade com o art. 7º, inciso VIII, do Ato da Mesa nº 242, de 13 de junho de 2022, resolve: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1º Esta Portaria disciplina a criação e o funcionamento de Grupo de Pesquisa e Extensão (GPE) no âmbito do Programa de Pós</w:t>
      </w:r>
      <w:r w:rsidR="00E11555">
        <w:rPr>
          <w:sz w:val="24"/>
          <w:szCs w:val="24"/>
        </w:rPr>
        <w:t>-</w:t>
      </w:r>
      <w:r w:rsidRPr="008F0906">
        <w:rPr>
          <w:sz w:val="24"/>
          <w:szCs w:val="24"/>
        </w:rPr>
        <w:t>Graduação do Centro de Formação, Treinamento e Aperfeiçoamento (</w:t>
      </w:r>
      <w:proofErr w:type="spellStart"/>
      <w:r w:rsidRPr="008F0906">
        <w:rPr>
          <w:sz w:val="24"/>
          <w:szCs w:val="24"/>
        </w:rPr>
        <w:t>Cefor</w:t>
      </w:r>
      <w:proofErr w:type="spellEnd"/>
      <w:r w:rsidRPr="008F0906">
        <w:rPr>
          <w:sz w:val="24"/>
          <w:szCs w:val="24"/>
        </w:rPr>
        <w:t>).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Art. 2º São objetivos do GPE: 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 - estimular a reflexão dos servidores sobre as atividades desenvolvidas na Câmara dos Deputados, bem como a apresentação de práticas inovadoras voltadas ao aperfeiçoamento dos processos de trabalho;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II - incentivar a realização de atividades em parceria com outras instituições, com vistas à análise e ao fortalecimento do Poder Legislativo;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III - aprimorar o apoio às atividades parlamentares e o desempenho dos servidores da Câmara dos Deputados, por meio da produção e da disseminação do conhecimento sobre o Poder Legislativo;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IV - divulgar resultados de pesquisa por meio de publicação de caráter técnico-científico em periódicos, revistas técnicas, livros, anais de congresso, bibliotecas digitais e outros.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Art. 3º Compete ao </w:t>
      </w:r>
      <w:proofErr w:type="spellStart"/>
      <w:r w:rsidRPr="008F0906">
        <w:rPr>
          <w:sz w:val="24"/>
          <w:szCs w:val="24"/>
        </w:rPr>
        <w:t>Cefor</w:t>
      </w:r>
      <w:proofErr w:type="spellEnd"/>
      <w:r w:rsidRPr="008F0906">
        <w:rPr>
          <w:sz w:val="24"/>
          <w:szCs w:val="24"/>
        </w:rPr>
        <w:t xml:space="preserve"> a criação de GPE, a pedido de titular de unidade administrativa, após parecer da Coordenação de Pós-Graduação (Copos) que demonstre: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 - a compatibilidade com o disposto no art. 2º;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II - a vinculação ao Plano Setorial de Desenvolvimento previsto na Portaria nº 130, do Diretor-Geral, de 24 de agosto de 2022, e à necessidade de pesquisa de unidade administrativa;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III - a consonância com as linhas de pesquisa do Mestrado Profissional em Poder Legislativo.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Parágrafo único. O requerimento de criação de GPE deverá ser encaminhado ao </w:t>
      </w:r>
      <w:proofErr w:type="spellStart"/>
      <w:r w:rsidRPr="008F0906">
        <w:rPr>
          <w:sz w:val="24"/>
          <w:szCs w:val="24"/>
        </w:rPr>
        <w:t>Cefor</w:t>
      </w:r>
      <w:proofErr w:type="spellEnd"/>
      <w:r w:rsidRPr="008F0906">
        <w:rPr>
          <w:sz w:val="24"/>
          <w:szCs w:val="24"/>
        </w:rPr>
        <w:t xml:space="preserve"> pelo titular da unidade administrativa solicitante, acompanhado dos seguintes documentos: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 - projeto de criação do GPE, conforme modelo indicado pela Copos;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lastRenderedPageBreak/>
        <w:t>II - cronograma de atividades para os 2 (dois) primeiros anos de funcionamento do GPE;</w:t>
      </w:r>
    </w:p>
    <w:p w:rsidR="008F0906" w:rsidRPr="008F0906" w:rsidRDefault="00EE64A6" w:rsidP="00FA45F2">
      <w:pPr>
        <w:pStyle w:val="Cabealho"/>
        <w:ind w:firstLine="1134"/>
        <w:jc w:val="both"/>
        <w:rPr>
          <w:sz w:val="24"/>
          <w:szCs w:val="24"/>
        </w:rPr>
      </w:pPr>
      <w:r w:rsidRPr="00EE64A6">
        <w:rPr>
          <w:sz w:val="24"/>
          <w:szCs w:val="24"/>
        </w:rPr>
        <w:t>III - currículo Lattes de todos os integrantes atualizado há, no máximo, 90 (noventa) dias da data do requerimento.</w:t>
      </w:r>
      <w:r>
        <w:rPr>
          <w:sz w:val="24"/>
          <w:szCs w:val="24"/>
        </w:rPr>
        <w:t xml:space="preserve"> </w:t>
      </w:r>
      <w:hyperlink r:id="rId7" w:history="1">
        <w:r w:rsidRPr="00527EAA">
          <w:rPr>
            <w:rStyle w:val="Hyperlink"/>
            <w:i/>
            <w:sz w:val="24"/>
            <w:szCs w:val="24"/>
          </w:rPr>
          <w:t>(Inciso com redação dada pela Portaria nº 109, de 1</w:t>
        </w:r>
        <w:r w:rsidR="00527EAA">
          <w:rPr>
            <w:rStyle w:val="Hyperlink"/>
            <w:i/>
            <w:sz w:val="24"/>
            <w:szCs w:val="24"/>
          </w:rPr>
          <w:t>º</w:t>
        </w:r>
        <w:r w:rsidRPr="00527EAA">
          <w:rPr>
            <w:rStyle w:val="Hyperlink"/>
            <w:i/>
            <w:sz w:val="24"/>
            <w:szCs w:val="24"/>
          </w:rPr>
          <w:t>/10/2025)</w:t>
        </w:r>
      </w:hyperlink>
      <w:r w:rsidR="008F0906" w:rsidRPr="008F0906">
        <w:rPr>
          <w:sz w:val="24"/>
          <w:szCs w:val="24"/>
        </w:rPr>
        <w:t xml:space="preserve"> 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4º A partir de sua criação, o GPE passa a integrar o Diretório de Grupos de Pesquisa do Conselho Nacional de Desenvolvimento Científico e Tecnológico (DGP-CNPq), com a respectiva certificação de validade emitida pela Copos.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Art. 5º O GPE será constituído por servidores da Câmara dos Deputados ou por estes e pesquisadores externos, mediante ações de cooperação com pessoas físicas ou jurídicas. 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Parágrafo único. O GPE será coordenado por servidor da Câmara dos Deputados com titulação acadêmica de Mestre ou Doutor.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6º É atribuição do coordenador do GPE a condução dos trabalhos, de forma a garantir o alcance dos objetivos referidos no art. 2º.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§ 1º O coordenador do GPE deverá encaminhar à Copos o relatório previsto no art. 7º, inciso I, sempre que solicitado.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§ 2º O coordenador do GPE poderá incluir ou excluir integrantes do grupo, a qualquer tempo, diretamente na página do GPE no DGP-CNPq.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§ 3º A organização de eventos, reuniões e outras ações relacionadas a projetos do GPE serão de responsabilidade exclusiva de seus integrantes.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7º A renovação da certificação de validade de GPE junto ao DGP-CNPq será efetivada anualmente pela Copos, mediante apresentação dos seguintes documentos: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I - relatório de produção do GPE, conforme modelo fornecido pela Copos;</w:t>
      </w:r>
    </w:p>
    <w:p w:rsidR="008F0906" w:rsidRPr="008F0906" w:rsidRDefault="00527EAA" w:rsidP="00FA45F2">
      <w:pPr>
        <w:pStyle w:val="Cabealho"/>
        <w:ind w:firstLine="1134"/>
        <w:jc w:val="both"/>
        <w:rPr>
          <w:sz w:val="24"/>
          <w:szCs w:val="24"/>
        </w:rPr>
      </w:pPr>
      <w:r w:rsidRPr="00527EAA">
        <w:rPr>
          <w:sz w:val="24"/>
          <w:szCs w:val="24"/>
        </w:rPr>
        <w:t>II - currículo Lattes de todos os integrantes do GPE atualizado há, no máximo, 90 (noventa) dias.</w:t>
      </w:r>
      <w:r>
        <w:rPr>
          <w:sz w:val="24"/>
          <w:szCs w:val="24"/>
        </w:rPr>
        <w:t xml:space="preserve"> </w:t>
      </w:r>
      <w:hyperlink r:id="rId8" w:history="1">
        <w:r w:rsidRPr="00527EAA">
          <w:rPr>
            <w:rStyle w:val="Hyperlink"/>
            <w:i/>
            <w:sz w:val="24"/>
            <w:szCs w:val="24"/>
          </w:rPr>
          <w:t>(Inciso com redação dada pela Portaria nº 109, de 1</w:t>
        </w:r>
        <w:r>
          <w:rPr>
            <w:rStyle w:val="Hyperlink"/>
            <w:i/>
            <w:sz w:val="24"/>
            <w:szCs w:val="24"/>
          </w:rPr>
          <w:t>º</w:t>
        </w:r>
        <w:r w:rsidRPr="00527EAA">
          <w:rPr>
            <w:rStyle w:val="Hyperlink"/>
            <w:i/>
            <w:sz w:val="24"/>
            <w:szCs w:val="24"/>
          </w:rPr>
          <w:t>/10/2025)</w:t>
        </w:r>
      </w:hyperlink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§ 1º O GPE que não apresentar, no prazo solicitado, os documentos indicados nos incisos I e II do </w:t>
      </w:r>
      <w:r w:rsidR="00B82978" w:rsidRPr="00B82978">
        <w:rPr>
          <w:i/>
          <w:sz w:val="24"/>
          <w:szCs w:val="24"/>
        </w:rPr>
        <w:t>caput</w:t>
      </w:r>
      <w:r w:rsidRPr="008F0906">
        <w:rPr>
          <w:sz w:val="24"/>
          <w:szCs w:val="24"/>
        </w:rPr>
        <w:t xml:space="preserve"> perderá a certificação de validade.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§ 2º O GPE que perder a certificação de validade somente poderá obter sua renovação após 90 (noventa) dias contados a partir da apresentação de requerimento de renovação, acompanhado dos documentos indicados nos incisos I e II do </w:t>
      </w:r>
      <w:r w:rsidR="00B82978" w:rsidRPr="00B82978">
        <w:rPr>
          <w:i/>
          <w:sz w:val="24"/>
          <w:szCs w:val="24"/>
        </w:rPr>
        <w:t>caput</w:t>
      </w:r>
      <w:r w:rsidRPr="008F0906">
        <w:rPr>
          <w:sz w:val="24"/>
          <w:szCs w:val="24"/>
        </w:rPr>
        <w:t>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§ 3º O GPE que não requerer renovação de certificação de validade no prazo de 60 (sessenta) dias contados a partir da perda da certificação será considerado encerrado para os fins desta Portaria.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>Art. 8º O integrante em atividade há, pelo menos, 180 (cento e oitenta) dias em GPE certificado nos termos desta Portaria poderá requerer a licença prevista no art. 81, inciso V, da Lei n° 8.112, de 11 de dezembro de 1990, para realização de atividades relacionadas à pesquisa desenvolvida no âmbito do GPE, por até 90 (noventa) dias por período aquisitivo, observados os requisitos previstos no art. 87 da Lei n° 8.112, de 1990, e os demais normativos internos aplicáveis.</w:t>
      </w:r>
      <w:r w:rsidR="008F0906" w:rsidRPr="008F0906">
        <w:rPr>
          <w:sz w:val="24"/>
          <w:szCs w:val="24"/>
        </w:rPr>
        <w:t xml:space="preserve"> </w:t>
      </w:r>
      <w:hyperlink r:id="rId9" w:history="1">
        <w:r w:rsidRPr="00527EA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B82978" w:rsidRPr="00B82978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</w:t>
        </w:r>
        <w:r w:rsidRPr="00527EAA">
          <w:rPr>
            <w:rStyle w:val="Hyperlink"/>
            <w:i/>
            <w:sz w:val="24"/>
            <w:szCs w:val="24"/>
          </w:rPr>
          <w:t>com redação dada pela Portaria nº 109, de 1</w:t>
        </w:r>
        <w:r>
          <w:rPr>
            <w:rStyle w:val="Hyperlink"/>
            <w:i/>
            <w:sz w:val="24"/>
            <w:szCs w:val="24"/>
          </w:rPr>
          <w:t>º</w:t>
        </w:r>
        <w:r w:rsidRPr="00527EAA">
          <w:rPr>
            <w:rStyle w:val="Hyperlink"/>
            <w:i/>
            <w:sz w:val="24"/>
            <w:szCs w:val="24"/>
          </w:rPr>
          <w:t>/10/2025)</w:t>
        </w:r>
      </w:hyperlink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§ 1º O pedido da licença referida no </w:t>
      </w:r>
      <w:r w:rsidR="00B82978" w:rsidRPr="00B82978">
        <w:rPr>
          <w:i/>
          <w:sz w:val="24"/>
          <w:szCs w:val="24"/>
        </w:rPr>
        <w:t>caput</w:t>
      </w:r>
      <w:r w:rsidRPr="00A50C7D">
        <w:rPr>
          <w:sz w:val="24"/>
          <w:szCs w:val="24"/>
        </w:rPr>
        <w:t xml:space="preserve"> deverá ser acompanhado de projeto de pesquisa específico, contendo, no mínimo, os seguintes elementos:</w:t>
      </w:r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>I - objetivos e justificativa da pesquisa;</w:t>
      </w:r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>II - método a ser utilizado;</w:t>
      </w:r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lastRenderedPageBreak/>
        <w:t>III - cronograma de execução;</w:t>
      </w:r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IV - produto(s) esperado(s) ao final da licença, conforme o disposto no § 2º deste artigo. </w:t>
      </w:r>
      <w:hyperlink r:id="rId10" w:history="1">
        <w:r w:rsidR="00B82978" w:rsidRPr="00527EAA">
          <w:rPr>
            <w:rStyle w:val="Hyperlink"/>
            <w:i/>
            <w:sz w:val="24"/>
            <w:szCs w:val="24"/>
          </w:rPr>
          <w:t>(</w:t>
        </w:r>
        <w:r w:rsidR="00B82978">
          <w:rPr>
            <w:rStyle w:val="Hyperlink"/>
            <w:i/>
            <w:sz w:val="24"/>
            <w:szCs w:val="24"/>
          </w:rPr>
          <w:t xml:space="preserve">Parágrafo acrescido </w:t>
        </w:r>
        <w:r w:rsidR="00B82978" w:rsidRPr="00527EAA">
          <w:rPr>
            <w:rStyle w:val="Hyperlink"/>
            <w:i/>
            <w:sz w:val="24"/>
            <w:szCs w:val="24"/>
          </w:rPr>
          <w:t>pela Portaria nº 109, de 1</w:t>
        </w:r>
        <w:r w:rsidR="00B82978">
          <w:rPr>
            <w:rStyle w:val="Hyperlink"/>
            <w:i/>
            <w:sz w:val="24"/>
            <w:szCs w:val="24"/>
          </w:rPr>
          <w:t>º</w:t>
        </w:r>
        <w:r w:rsidR="00B82978" w:rsidRPr="00527EAA">
          <w:rPr>
            <w:rStyle w:val="Hyperlink"/>
            <w:i/>
            <w:sz w:val="24"/>
            <w:szCs w:val="24"/>
          </w:rPr>
          <w:t>/10/2025)</w:t>
        </w:r>
      </w:hyperlink>
    </w:p>
    <w:p w:rsidR="00A50C7D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§ 2º Ao término da licença referida no </w:t>
      </w:r>
      <w:r w:rsidR="00B82978" w:rsidRPr="00B82978">
        <w:rPr>
          <w:i/>
          <w:sz w:val="24"/>
          <w:szCs w:val="24"/>
        </w:rPr>
        <w:t>caput</w:t>
      </w:r>
      <w:r w:rsidRPr="00A50C7D">
        <w:rPr>
          <w:sz w:val="24"/>
          <w:szCs w:val="24"/>
        </w:rPr>
        <w:t xml:space="preserve">, o integrante do GPE deverá apresentar um dos seguintes produtos resultantes da pesquisa desenvolvida durante o período: </w:t>
      </w:r>
    </w:p>
    <w:p w:rsidR="00B82978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I - relatório técnico detalhado contendo os objetivos, o método, os resultados e as conclusões da pesquisa; </w:t>
      </w:r>
    </w:p>
    <w:p w:rsidR="00B82978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II - artigo submetido a periódico científico reconhecido na área de estudo correspondente; </w:t>
      </w:r>
    </w:p>
    <w:p w:rsidR="00B82978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III - base de dados de pesquisa dicionarizada e documentada, devidamente depositada no repositório público do </w:t>
      </w:r>
      <w:proofErr w:type="spellStart"/>
      <w:r w:rsidRPr="00A50C7D">
        <w:rPr>
          <w:sz w:val="24"/>
          <w:szCs w:val="24"/>
        </w:rPr>
        <w:t>Cefor</w:t>
      </w:r>
      <w:proofErr w:type="spellEnd"/>
      <w:r w:rsidRPr="00A50C7D">
        <w:rPr>
          <w:sz w:val="24"/>
          <w:szCs w:val="24"/>
        </w:rPr>
        <w:t xml:space="preserve">; </w:t>
      </w:r>
    </w:p>
    <w:p w:rsidR="00B82978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IV - software ou códigos de programação desenvolvidos no âmbito da pesquisa, devidamente depositados no repositório público do </w:t>
      </w:r>
      <w:proofErr w:type="spellStart"/>
      <w:r w:rsidRPr="00A50C7D">
        <w:rPr>
          <w:sz w:val="24"/>
          <w:szCs w:val="24"/>
        </w:rPr>
        <w:t>Cefor</w:t>
      </w:r>
      <w:proofErr w:type="spellEnd"/>
      <w:r w:rsidRPr="00A50C7D">
        <w:rPr>
          <w:sz w:val="24"/>
          <w:szCs w:val="24"/>
        </w:rPr>
        <w:t xml:space="preserve">, acompanhados de descrição de funcionalidades e resultados alcançados; </w:t>
      </w:r>
    </w:p>
    <w:p w:rsidR="00B82978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V - processo ou técnica de trabalho desenvolvido(a) no âmbito da pesquisa, devidamente depositado(a) no repositório público do </w:t>
      </w:r>
      <w:proofErr w:type="spellStart"/>
      <w:r w:rsidRPr="00A50C7D">
        <w:rPr>
          <w:sz w:val="24"/>
          <w:szCs w:val="24"/>
        </w:rPr>
        <w:t>Cefor</w:t>
      </w:r>
      <w:proofErr w:type="spellEnd"/>
      <w:r w:rsidRPr="00A50C7D">
        <w:rPr>
          <w:sz w:val="24"/>
          <w:szCs w:val="24"/>
        </w:rPr>
        <w:t xml:space="preserve">, acompanhado(a) de descrição e resultados esperados ou alcançados; </w:t>
      </w:r>
    </w:p>
    <w:p w:rsidR="008F0906" w:rsidRDefault="00A50C7D" w:rsidP="00FA45F2">
      <w:pPr>
        <w:pStyle w:val="Cabealho"/>
        <w:ind w:firstLine="1134"/>
        <w:jc w:val="both"/>
        <w:rPr>
          <w:sz w:val="24"/>
          <w:szCs w:val="24"/>
        </w:rPr>
      </w:pPr>
      <w:r w:rsidRPr="00A50C7D">
        <w:rPr>
          <w:sz w:val="24"/>
          <w:szCs w:val="24"/>
        </w:rPr>
        <w:t xml:space="preserve">VI - manual de operação técnica elaborado no âmbito da pesquisa, devidamente depositado no repositório público do </w:t>
      </w:r>
      <w:proofErr w:type="spellStart"/>
      <w:r w:rsidRPr="00A50C7D">
        <w:rPr>
          <w:sz w:val="24"/>
          <w:szCs w:val="24"/>
        </w:rPr>
        <w:t>Cefor</w:t>
      </w:r>
      <w:proofErr w:type="spellEnd"/>
      <w:r w:rsidRPr="00A50C7D">
        <w:rPr>
          <w:sz w:val="24"/>
          <w:szCs w:val="24"/>
        </w:rPr>
        <w:t>, acompanhado de descrição e resultados esperados ou alcançados.</w:t>
      </w:r>
      <w:r w:rsidR="00B82978">
        <w:rPr>
          <w:sz w:val="24"/>
          <w:szCs w:val="24"/>
        </w:rPr>
        <w:t xml:space="preserve"> </w:t>
      </w:r>
      <w:hyperlink r:id="rId11" w:history="1">
        <w:r w:rsidR="00B82978" w:rsidRPr="00527EAA">
          <w:rPr>
            <w:rStyle w:val="Hyperlink"/>
            <w:i/>
            <w:sz w:val="24"/>
            <w:szCs w:val="24"/>
          </w:rPr>
          <w:t>(</w:t>
        </w:r>
        <w:r w:rsidR="00B82978">
          <w:rPr>
            <w:rStyle w:val="Hyperlink"/>
            <w:i/>
            <w:sz w:val="24"/>
            <w:szCs w:val="24"/>
          </w:rPr>
          <w:t xml:space="preserve">Parágrafo acrescido </w:t>
        </w:r>
        <w:r w:rsidR="00B82978" w:rsidRPr="00527EAA">
          <w:rPr>
            <w:rStyle w:val="Hyperlink"/>
            <w:i/>
            <w:sz w:val="24"/>
            <w:szCs w:val="24"/>
          </w:rPr>
          <w:t>pela Portaria nº 109, de 1</w:t>
        </w:r>
        <w:r w:rsidR="00B82978">
          <w:rPr>
            <w:rStyle w:val="Hyperlink"/>
            <w:i/>
            <w:sz w:val="24"/>
            <w:szCs w:val="24"/>
          </w:rPr>
          <w:t>º</w:t>
        </w:r>
        <w:r w:rsidR="00B82978" w:rsidRPr="00527EAA">
          <w:rPr>
            <w:rStyle w:val="Hyperlink"/>
            <w:i/>
            <w:sz w:val="24"/>
            <w:szCs w:val="24"/>
          </w:rPr>
          <w:t>/10/2025)</w:t>
        </w:r>
      </w:hyperlink>
    </w:p>
    <w:p w:rsidR="00A50C7D" w:rsidRPr="008F0906" w:rsidRDefault="00A50C7D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9º A participação em GPE não implicará pagamento ou gratificação de qualquer espécie, nem jornada de trabalho diferenciada.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Art. 10. O GPE vigente na data de publicação desta Portaria passa a integrar o DGP-CNPq e estará sujeito ao disposto nesta norma. 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 xml:space="preserve">Parágrafo único. O GPE referido no </w:t>
      </w:r>
      <w:r w:rsidR="00B82978" w:rsidRPr="00B82978">
        <w:rPr>
          <w:i/>
          <w:sz w:val="24"/>
          <w:szCs w:val="24"/>
        </w:rPr>
        <w:t>caput</w:t>
      </w:r>
      <w:r w:rsidRPr="008F0906">
        <w:rPr>
          <w:sz w:val="24"/>
          <w:szCs w:val="24"/>
        </w:rPr>
        <w:t xml:space="preserve"> que não tenha sido criado por requerimento específico de unidade administrativa fica vinculado ao </w:t>
      </w:r>
      <w:proofErr w:type="spellStart"/>
      <w:r w:rsidRPr="008F0906">
        <w:rPr>
          <w:sz w:val="24"/>
          <w:szCs w:val="24"/>
        </w:rPr>
        <w:t>Cefor</w:t>
      </w:r>
      <w:proofErr w:type="spellEnd"/>
      <w:r w:rsidRPr="008F0906">
        <w:rPr>
          <w:sz w:val="24"/>
          <w:szCs w:val="24"/>
        </w:rPr>
        <w:t>, enquanto mantiver a certificação de validade emitida pela Copos.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11. Fica revogada a Portaria nº 31, de 29 de março de 2006, do Diretor-Geral.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Art. 12. Esta Portaria entra em vigor na data de sua publicação.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CELSO DE BARROS CORREIA NETO</w:t>
      </w:r>
    </w:p>
    <w:p w:rsidR="008F0906" w:rsidRPr="008F0906" w:rsidRDefault="008F0906" w:rsidP="00FA45F2">
      <w:pPr>
        <w:pStyle w:val="Cabealho"/>
        <w:ind w:firstLine="1134"/>
        <w:jc w:val="both"/>
        <w:rPr>
          <w:sz w:val="24"/>
          <w:szCs w:val="24"/>
        </w:rPr>
      </w:pPr>
      <w:r w:rsidRPr="008F0906">
        <w:rPr>
          <w:sz w:val="24"/>
          <w:szCs w:val="24"/>
        </w:rPr>
        <w:t>Diretor-Geral</w:t>
      </w:r>
    </w:p>
    <w:p w:rsidR="00502BA4" w:rsidRDefault="00502BA4" w:rsidP="00FA45F2">
      <w:pPr>
        <w:pStyle w:val="Cabealho"/>
        <w:ind w:firstLine="1134"/>
        <w:jc w:val="both"/>
        <w:rPr>
          <w:sz w:val="24"/>
          <w:szCs w:val="24"/>
        </w:rPr>
      </w:pPr>
    </w:p>
    <w:sectPr w:rsidR="00502BA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27EAA"/>
    <w:rsid w:val="00542216"/>
    <w:rsid w:val="00554C6B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17AC"/>
    <w:rsid w:val="00883AFE"/>
    <w:rsid w:val="008C5F6B"/>
    <w:rsid w:val="008D039C"/>
    <w:rsid w:val="008E4285"/>
    <w:rsid w:val="008F0906"/>
    <w:rsid w:val="008F51DC"/>
    <w:rsid w:val="00942709"/>
    <w:rsid w:val="00951C6A"/>
    <w:rsid w:val="00967956"/>
    <w:rsid w:val="009B617B"/>
    <w:rsid w:val="009C06C6"/>
    <w:rsid w:val="009D26E2"/>
    <w:rsid w:val="009E2F21"/>
    <w:rsid w:val="009F1493"/>
    <w:rsid w:val="00A00031"/>
    <w:rsid w:val="00A26D07"/>
    <w:rsid w:val="00A270C0"/>
    <w:rsid w:val="00A43F13"/>
    <w:rsid w:val="00A50C7D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2978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1555"/>
    <w:rsid w:val="00E1527E"/>
    <w:rsid w:val="00E23F8E"/>
    <w:rsid w:val="00E25EA6"/>
    <w:rsid w:val="00E35CE9"/>
    <w:rsid w:val="00E44486"/>
    <w:rsid w:val="00E471DE"/>
    <w:rsid w:val="00E8077F"/>
    <w:rsid w:val="00E874A7"/>
    <w:rsid w:val="00EB24A6"/>
    <w:rsid w:val="00EB4B02"/>
    <w:rsid w:val="00EC048A"/>
    <w:rsid w:val="00EE19B8"/>
    <w:rsid w:val="00EE64A6"/>
    <w:rsid w:val="00F13A54"/>
    <w:rsid w:val="00F2130B"/>
    <w:rsid w:val="00F25318"/>
    <w:rsid w:val="00F372DB"/>
    <w:rsid w:val="00F44E2D"/>
    <w:rsid w:val="00F830DA"/>
    <w:rsid w:val="00FA29E2"/>
    <w:rsid w:val="00FA45F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9DC9A6-F705-464C-9AC2-C118A2E8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5/portaria-109-1-outubro-2025-798085-publicacaooriginal-176626-cd-d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09-1-outubro-2025-798085-publicacaooriginal-176626-cd-d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5/portaria-109-1-outubro-2025-798085-publicacaooriginal-176626-cd-dg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int/portar/2025/portaria-109-1-outubro-2025-798085-publicacaooriginal-176626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5/portaria-109-1-outubro-2025-798085-publicacaooriginal-176626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7985</CharactersWithSpaces>
  <SharedDoc>false</SharedDoc>
  <HLinks>
    <vt:vector size="30" baseType="variant">
      <vt:variant>
        <vt:i4>1441816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https://www2.camara.leg.br/legin/int/portar/2025/portaria-109-1-outubro-2025-798085-publicacaooriginal-176626-cd-dg.html</vt:lpwstr>
      </vt:variant>
      <vt:variant>
        <vt:lpwstr/>
      </vt:variant>
      <vt:variant>
        <vt:i4>1441816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https://www2.camara.leg.br/legin/int/portar/2025/portaria-109-1-outubro-2025-798085-publicacaooriginal-176626-cd-dg.html</vt:lpwstr>
      </vt:variant>
      <vt:variant>
        <vt:lpwstr/>
      </vt:variant>
      <vt:variant>
        <vt:i4>1441816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https://www2.camara.leg.br/legin/int/portar/2025/portaria-109-1-outubro-2025-798085-publicacaooriginal-176626-cd-dg.html</vt:lpwstr>
      </vt:variant>
      <vt:variant>
        <vt:lpwstr/>
      </vt:variant>
      <vt:variant>
        <vt:i4>1441816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https://www2.camara.leg.br/legin/int/portar/2025/portaria-109-1-outubro-2025-798085-publicacaooriginal-176626-cd-dg.html</vt:lpwstr>
      </vt:variant>
      <vt:variant>
        <vt:lpwstr/>
      </vt:variant>
      <vt:variant>
        <vt:i4>1441816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https://www2.camara.leg.br/legin/int/portar/2025/portaria-109-1-outubro-2025-798085-publicacaooriginal-176626-cd-dg.html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2025-11-20T17:46:00Z</dcterms:created>
  <dcterms:modified xsi:type="dcterms:W3CDTF">2025-11-20T17:46:00Z</dcterms:modified>
</cp:coreProperties>
</file>