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5019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E72250" w:rsidRDefault="00E72250" w:rsidP="00E72250">
      <w:pPr>
        <w:pStyle w:val="Cabealho"/>
        <w:jc w:val="both"/>
        <w:rPr>
          <w:sz w:val="24"/>
          <w:szCs w:val="24"/>
        </w:rPr>
      </w:pPr>
    </w:p>
    <w:p w:rsidR="008850BC" w:rsidRPr="00263261" w:rsidRDefault="000A264F" w:rsidP="00263261">
      <w:pPr>
        <w:pStyle w:val="Cabealh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246, DE 12/</w:t>
      </w:r>
      <w:r w:rsidR="008850BC" w:rsidRPr="00263261">
        <w:rPr>
          <w:b/>
          <w:sz w:val="28"/>
          <w:szCs w:val="28"/>
        </w:rPr>
        <w:t>9/2024</w:t>
      </w:r>
    </w:p>
    <w:p w:rsidR="008850BC" w:rsidRPr="008850BC" w:rsidRDefault="008850BC" w:rsidP="008850BC">
      <w:pPr>
        <w:pStyle w:val="Cabealho"/>
        <w:jc w:val="both"/>
        <w:rPr>
          <w:sz w:val="24"/>
          <w:szCs w:val="24"/>
        </w:rPr>
      </w:pPr>
    </w:p>
    <w:p w:rsidR="008850BC" w:rsidRPr="008850BC" w:rsidRDefault="008850BC" w:rsidP="008850BC">
      <w:pPr>
        <w:pStyle w:val="Cabealho"/>
        <w:jc w:val="both"/>
        <w:rPr>
          <w:sz w:val="24"/>
          <w:szCs w:val="24"/>
        </w:rPr>
      </w:pPr>
    </w:p>
    <w:p w:rsidR="008850BC" w:rsidRPr="008850BC" w:rsidRDefault="008850BC" w:rsidP="00263261">
      <w:pPr>
        <w:pStyle w:val="Cabealho"/>
        <w:ind w:left="4536"/>
        <w:jc w:val="both"/>
        <w:rPr>
          <w:sz w:val="24"/>
          <w:szCs w:val="24"/>
        </w:rPr>
      </w:pPr>
      <w:r w:rsidRPr="008850BC">
        <w:rPr>
          <w:sz w:val="24"/>
          <w:szCs w:val="24"/>
        </w:rPr>
        <w:t xml:space="preserve">Constitui o Grupo de Trabalho para organizar a 10ª Cúpula de Presidentes dos Parlamentos do G20 (P20), a ser realizada no Palácio do Congresso Nacional, em novembro de 2024. </w:t>
      </w:r>
    </w:p>
    <w:p w:rsidR="008850BC" w:rsidRPr="008850BC" w:rsidRDefault="008850BC" w:rsidP="008850BC">
      <w:pPr>
        <w:pStyle w:val="Cabealho"/>
        <w:jc w:val="both"/>
        <w:rPr>
          <w:sz w:val="24"/>
          <w:szCs w:val="24"/>
        </w:rPr>
      </w:pPr>
    </w:p>
    <w:p w:rsidR="008850BC" w:rsidRPr="008850BC" w:rsidRDefault="008850BC" w:rsidP="008850BC">
      <w:pPr>
        <w:pStyle w:val="Cabealho"/>
        <w:jc w:val="both"/>
        <w:rPr>
          <w:sz w:val="24"/>
          <w:szCs w:val="24"/>
        </w:rPr>
      </w:pP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t xml:space="preserve">O DIRETOR-GERAL DA CÂMARA DOS DEPUTADOS, no uso das atribuições que lhe confere o art. 147, I e XV, da Resolução nº 20, de 30 de novembro de 1971, resolve: </w:t>
      </w: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t xml:space="preserve">Art. 1º Fica constituído Grupo de Trabalho com a finalidade de organizar a 10ª Cúpula de Presidentes dos Parlamentos do G20 (P20), a ser realizada no Palácio do Congresso Nacional, entre os dias 6 e 8 de novembro de 2024. </w:t>
      </w: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t xml:space="preserve">Art. 2º O Grupo de Trabalho será integrado pelos seguintes órgãos e unidades administrativas e respectivos servidores representantes: </w:t>
      </w:r>
    </w:p>
    <w:p w:rsidR="00263261" w:rsidRDefault="00263261" w:rsidP="00263261">
      <w:pPr>
        <w:pStyle w:val="Cabealho"/>
        <w:ind w:firstLine="1134"/>
        <w:jc w:val="both"/>
        <w:rPr>
          <w:sz w:val="24"/>
          <w:szCs w:val="24"/>
        </w:rPr>
      </w:pP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t xml:space="preserve">I - Gabinete do Presidente: </w:t>
      </w: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t>a) Nilo Dytz Filho, ponto nº124796;</w:t>
      </w: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t>b) Marcos Alberto Loureiro, ponto nº 6664;</w:t>
      </w: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t>c) Alessandra Nardoni Watanabe, ponto nº 7785.</w:t>
      </w:r>
    </w:p>
    <w:p w:rsidR="00263261" w:rsidRDefault="00263261" w:rsidP="00263261">
      <w:pPr>
        <w:pStyle w:val="Cabealho"/>
        <w:ind w:firstLine="1134"/>
        <w:jc w:val="both"/>
        <w:rPr>
          <w:sz w:val="24"/>
          <w:szCs w:val="24"/>
        </w:rPr>
      </w:pP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t xml:space="preserve">II - Diretoria-Geral: </w:t>
      </w: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t>a) Celso de Barros Correia Neto, ponto nº 8302.</w:t>
      </w: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t xml:space="preserve">III - Secretaria-Geral da Mesa: </w:t>
      </w: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t>a) Christiane Satiê Moritsugu Bisinoto, ponto nº 7400;</w:t>
      </w: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t>b) Natercia Micheletti Viana, ponto nº 7474.</w:t>
      </w: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t xml:space="preserve">IV - Diretoria Administrativa: </w:t>
      </w: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t>a) Mauro Limeira Mena Barreto, ponto nº 4392;</w:t>
      </w: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t>b) Renato Gomes Dias da Câmara, ponto nº 5883.</w:t>
      </w: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t xml:space="preserve">V - Diretoria de Inovação e Tecnologia da Informação: </w:t>
      </w: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t>a) Gilberto Fernandes Taboada, ponto nº 6679.</w:t>
      </w: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t xml:space="preserve">VI - Diretoria Executiva de Comunicação e Mídias Digitais: </w:t>
      </w: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t>a) Daniel do Valle Santa Cruz, ponto nº 7649;</w:t>
      </w: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lastRenderedPageBreak/>
        <w:t>b) Frederico Fonseca de Almeida, ponto nº 7091;</w:t>
      </w: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t>c) Ginny Carla Morais de Carvalho, ponto nº 7296;</w:t>
      </w: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t>d) Luiz Flavio Menezes, ponto nº 5482;</w:t>
      </w: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t>e) Malva Beatrice Machado Algarte, ponto nº 6289;</w:t>
      </w: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t>f) Isabel Martins Flecha de Lima, ponto nº 6768;</w:t>
      </w: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t>g) Clauder Lopes Diniz, ponto nº 6305;</w:t>
      </w: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t>h) Deborah da Silva Achcar, ponto nº 6299.</w:t>
      </w: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t xml:space="preserve">VII - Advocacia da Câmara dos Deputados: </w:t>
      </w: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t>a) Daniel Borges de Morais, ponto nº 7361.</w:t>
      </w: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t xml:space="preserve">VIII - Assessoria de Projetos e Gestão: </w:t>
      </w: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t>a) Guilherme Barbosa Brandão, ponto nº 7700;</w:t>
      </w: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t>b) Amanda Maria Ramalho de Carvalho, ponto nº 7252;</w:t>
      </w: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t>c) Valéria Santos Paiva Dias Lima, ponto nº 7864;</w:t>
      </w: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t>d) Renata Bressanelli Silva, ponto nº 7761;</w:t>
      </w: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t>e) Davi da Trindade Guedes, ponto nº 8355.</w:t>
      </w: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t xml:space="preserve">IX - Centro de Formação, Treinamento e Aperfeiçoamento: </w:t>
      </w: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t>a) Mariana Barros Barreiras, ponto nº 8331.</w:t>
      </w: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t xml:space="preserve">X - Departamento de Atenção à Saúde: </w:t>
      </w: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t>a) Luciana Pepe Barradas, ponto nº 6129.</w:t>
      </w: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t xml:space="preserve">XI - Departamento de Polícia Legislativa Federal: </w:t>
      </w: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t>a) Adilson Ferreira Paz, ponto nº 7446.</w:t>
      </w:r>
    </w:p>
    <w:p w:rsidR="008850BC" w:rsidRPr="00263261" w:rsidRDefault="00263261" w:rsidP="00263261">
      <w:pPr>
        <w:pStyle w:val="Cabealho"/>
        <w:ind w:firstLine="1134"/>
        <w:jc w:val="both"/>
        <w:rPr>
          <w:i/>
          <w:sz w:val="24"/>
          <w:szCs w:val="24"/>
        </w:rPr>
      </w:pPr>
      <w:r w:rsidRPr="00263261">
        <w:rPr>
          <w:sz w:val="24"/>
          <w:szCs w:val="24"/>
        </w:rPr>
        <w:t>b) Suprecílio do Rêgo Barros Neto, ponto n</w:t>
      </w:r>
      <w:r w:rsidR="00882CD6">
        <w:rPr>
          <w:sz w:val="24"/>
          <w:szCs w:val="24"/>
        </w:rPr>
        <w:t>º</w:t>
      </w:r>
      <w:r w:rsidRPr="00263261">
        <w:rPr>
          <w:sz w:val="24"/>
          <w:szCs w:val="24"/>
        </w:rPr>
        <w:t xml:space="preserve"> 7459.</w:t>
      </w:r>
      <w:r>
        <w:rPr>
          <w:sz w:val="24"/>
          <w:szCs w:val="24"/>
        </w:rPr>
        <w:t xml:space="preserve"> </w:t>
      </w:r>
      <w:hyperlink r:id="rId7" w:history="1">
        <w:r w:rsidRPr="00263261">
          <w:rPr>
            <w:rStyle w:val="Hyperlink"/>
            <w:i/>
            <w:sz w:val="24"/>
            <w:szCs w:val="24"/>
          </w:rPr>
          <w:t>(Alínea acrescida pela Portaria nº 297, de 2/10/2024)</w:t>
        </w:r>
      </w:hyperlink>
    </w:p>
    <w:p w:rsidR="00263261" w:rsidRPr="008850BC" w:rsidRDefault="00263261" w:rsidP="00263261">
      <w:pPr>
        <w:pStyle w:val="Cabealho"/>
        <w:ind w:firstLine="1134"/>
        <w:jc w:val="both"/>
        <w:rPr>
          <w:sz w:val="24"/>
          <w:szCs w:val="24"/>
        </w:rPr>
      </w:pP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t xml:space="preserve">XII - Departamento de Taquigrafia, Revisão e Redação: </w:t>
      </w: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t>a) Juliana Baldoni Figueiredo, ponto nº 7129.</w:t>
      </w:r>
    </w:p>
    <w:p w:rsidR="00263261" w:rsidRDefault="00263261" w:rsidP="00263261">
      <w:pPr>
        <w:pStyle w:val="Cabealho"/>
        <w:ind w:firstLine="1134"/>
        <w:jc w:val="both"/>
        <w:rPr>
          <w:sz w:val="24"/>
          <w:szCs w:val="24"/>
        </w:rPr>
      </w:pP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t xml:space="preserve">XIII - Departamento Técnico: </w:t>
      </w: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t>a) Ismael Marques Guimarães, ponto nº 6827;</w:t>
      </w: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t>b) Jose Henrique Ferreira da Silva, ponto nº 7913;</w:t>
      </w: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t>c) Marisa Seixas Prata, ponto nº 4269;</w:t>
      </w: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t>d) Fábio Chamon Melo, ponto nº 7619.</w:t>
      </w: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t xml:space="preserve">Art. 3º As atividades do Grupo de Trabalho serão desenvolvidas sem prejuízo às atribuições ordinárias dos servidores em suas respectivas lotações. </w:t>
      </w: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t xml:space="preserve">Art. 4º O prazo de vigência do Grupo de Trabalho será de 3 (três) meses. </w:t>
      </w: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t xml:space="preserve">Art. 5º A participação dos servidores relacionados no art. 2º será considerada serviço relevante, devendo ser registrado elogio em seus apontamentos funcionais ao término dos trabalhos, conforme preceitua o art. 6º da Portaria-DG nº 205, de 12 de julho de 2010. </w:t>
      </w: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lastRenderedPageBreak/>
        <w:t xml:space="preserve">Art. 6º Esta Portaria entra em vigor na data de sua publicação. </w:t>
      </w: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</w:p>
    <w:p w:rsidR="008850BC" w:rsidRP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t>CELSO DE BARROS CORREIA NETO</w:t>
      </w:r>
    </w:p>
    <w:p w:rsidR="008850BC" w:rsidRDefault="008850BC" w:rsidP="00263261">
      <w:pPr>
        <w:pStyle w:val="Cabealho"/>
        <w:ind w:firstLine="1134"/>
        <w:jc w:val="both"/>
        <w:rPr>
          <w:sz w:val="24"/>
          <w:szCs w:val="24"/>
        </w:rPr>
      </w:pPr>
      <w:r w:rsidRPr="008850BC">
        <w:rPr>
          <w:sz w:val="24"/>
          <w:szCs w:val="24"/>
        </w:rPr>
        <w:t>Diretor-Geral</w:t>
      </w:r>
    </w:p>
    <w:sectPr w:rsidR="008850BC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0AAD"/>
    <w:rsid w:val="00031082"/>
    <w:rsid w:val="00062499"/>
    <w:rsid w:val="00067CCE"/>
    <w:rsid w:val="000732D9"/>
    <w:rsid w:val="00090D5C"/>
    <w:rsid w:val="000A264F"/>
    <w:rsid w:val="000B15B1"/>
    <w:rsid w:val="000B41DB"/>
    <w:rsid w:val="000B53F7"/>
    <w:rsid w:val="000C6F5F"/>
    <w:rsid w:val="00140E83"/>
    <w:rsid w:val="001520DA"/>
    <w:rsid w:val="00163775"/>
    <w:rsid w:val="00175214"/>
    <w:rsid w:val="001874F8"/>
    <w:rsid w:val="001A4BC9"/>
    <w:rsid w:val="001B2C33"/>
    <w:rsid w:val="001E3039"/>
    <w:rsid w:val="001F0C74"/>
    <w:rsid w:val="001F11A7"/>
    <w:rsid w:val="00200BE4"/>
    <w:rsid w:val="002022C2"/>
    <w:rsid w:val="00202D1E"/>
    <w:rsid w:val="002055E6"/>
    <w:rsid w:val="00212338"/>
    <w:rsid w:val="00231AFC"/>
    <w:rsid w:val="00232766"/>
    <w:rsid w:val="00237EC3"/>
    <w:rsid w:val="00261397"/>
    <w:rsid w:val="00263261"/>
    <w:rsid w:val="0026340E"/>
    <w:rsid w:val="00263A93"/>
    <w:rsid w:val="00263EDC"/>
    <w:rsid w:val="00271313"/>
    <w:rsid w:val="0027187A"/>
    <w:rsid w:val="002751F9"/>
    <w:rsid w:val="002B0AB7"/>
    <w:rsid w:val="002B3BBA"/>
    <w:rsid w:val="002D3071"/>
    <w:rsid w:val="002E4728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4D83"/>
    <w:rsid w:val="00435FBD"/>
    <w:rsid w:val="00440636"/>
    <w:rsid w:val="004460E4"/>
    <w:rsid w:val="004548EA"/>
    <w:rsid w:val="00465FB3"/>
    <w:rsid w:val="00470F5F"/>
    <w:rsid w:val="00475BE4"/>
    <w:rsid w:val="004762C7"/>
    <w:rsid w:val="004856EA"/>
    <w:rsid w:val="004A09BB"/>
    <w:rsid w:val="004A19A5"/>
    <w:rsid w:val="004A1EB1"/>
    <w:rsid w:val="004B4292"/>
    <w:rsid w:val="004C37B8"/>
    <w:rsid w:val="004D55FA"/>
    <w:rsid w:val="004E2F52"/>
    <w:rsid w:val="004E616A"/>
    <w:rsid w:val="004E79A8"/>
    <w:rsid w:val="00506F9A"/>
    <w:rsid w:val="005166E5"/>
    <w:rsid w:val="00542216"/>
    <w:rsid w:val="00551B9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B7B72"/>
    <w:rsid w:val="006D2527"/>
    <w:rsid w:val="006D52C7"/>
    <w:rsid w:val="006D58DC"/>
    <w:rsid w:val="006D6829"/>
    <w:rsid w:val="006E202D"/>
    <w:rsid w:val="006E5D2D"/>
    <w:rsid w:val="006F3400"/>
    <w:rsid w:val="00700001"/>
    <w:rsid w:val="007234DC"/>
    <w:rsid w:val="00723BD5"/>
    <w:rsid w:val="0072460E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706B"/>
    <w:rsid w:val="00863058"/>
    <w:rsid w:val="00866CA1"/>
    <w:rsid w:val="008732AA"/>
    <w:rsid w:val="00875CFE"/>
    <w:rsid w:val="00876610"/>
    <w:rsid w:val="00882CD6"/>
    <w:rsid w:val="00883AFE"/>
    <w:rsid w:val="008850BC"/>
    <w:rsid w:val="008C5F6B"/>
    <w:rsid w:val="008D039C"/>
    <w:rsid w:val="008E37A9"/>
    <w:rsid w:val="008E4285"/>
    <w:rsid w:val="008F51DC"/>
    <w:rsid w:val="00917416"/>
    <w:rsid w:val="00951C6A"/>
    <w:rsid w:val="00967956"/>
    <w:rsid w:val="009728BF"/>
    <w:rsid w:val="00975168"/>
    <w:rsid w:val="009949A2"/>
    <w:rsid w:val="00997852"/>
    <w:rsid w:val="009D26E2"/>
    <w:rsid w:val="009D344F"/>
    <w:rsid w:val="009E2F21"/>
    <w:rsid w:val="009F1493"/>
    <w:rsid w:val="00A26D07"/>
    <w:rsid w:val="00A270C0"/>
    <w:rsid w:val="00A30B43"/>
    <w:rsid w:val="00A43BC9"/>
    <w:rsid w:val="00A43F13"/>
    <w:rsid w:val="00A54BF7"/>
    <w:rsid w:val="00A60C8A"/>
    <w:rsid w:val="00A81702"/>
    <w:rsid w:val="00A9003C"/>
    <w:rsid w:val="00A90A52"/>
    <w:rsid w:val="00AB04AF"/>
    <w:rsid w:val="00AB3F40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9616D"/>
    <w:rsid w:val="00BB66B4"/>
    <w:rsid w:val="00BC59BB"/>
    <w:rsid w:val="00BD136A"/>
    <w:rsid w:val="00BD6ADA"/>
    <w:rsid w:val="00BE1A48"/>
    <w:rsid w:val="00BF2B45"/>
    <w:rsid w:val="00C038C8"/>
    <w:rsid w:val="00C0484C"/>
    <w:rsid w:val="00C1773A"/>
    <w:rsid w:val="00C20425"/>
    <w:rsid w:val="00C35CC0"/>
    <w:rsid w:val="00C428CC"/>
    <w:rsid w:val="00C51890"/>
    <w:rsid w:val="00C61832"/>
    <w:rsid w:val="00C66170"/>
    <w:rsid w:val="00C72B05"/>
    <w:rsid w:val="00C83F14"/>
    <w:rsid w:val="00CB7ABD"/>
    <w:rsid w:val="00CC0A60"/>
    <w:rsid w:val="00CD6B7A"/>
    <w:rsid w:val="00CF67BB"/>
    <w:rsid w:val="00CF7403"/>
    <w:rsid w:val="00CF7858"/>
    <w:rsid w:val="00D22EF6"/>
    <w:rsid w:val="00D34C5C"/>
    <w:rsid w:val="00D72970"/>
    <w:rsid w:val="00DA2508"/>
    <w:rsid w:val="00DB447A"/>
    <w:rsid w:val="00DD48D5"/>
    <w:rsid w:val="00DE6C2C"/>
    <w:rsid w:val="00DF7619"/>
    <w:rsid w:val="00E0062E"/>
    <w:rsid w:val="00E1527E"/>
    <w:rsid w:val="00E23F8E"/>
    <w:rsid w:val="00E25EA6"/>
    <w:rsid w:val="00E44486"/>
    <w:rsid w:val="00E471DE"/>
    <w:rsid w:val="00E72250"/>
    <w:rsid w:val="00E8077F"/>
    <w:rsid w:val="00E874A7"/>
    <w:rsid w:val="00EB24A6"/>
    <w:rsid w:val="00EB4B02"/>
    <w:rsid w:val="00EC048A"/>
    <w:rsid w:val="00ED4307"/>
    <w:rsid w:val="00EE19B8"/>
    <w:rsid w:val="00F13A54"/>
    <w:rsid w:val="00F2130B"/>
    <w:rsid w:val="00F27DA1"/>
    <w:rsid w:val="00F372DB"/>
    <w:rsid w:val="00F44E2D"/>
    <w:rsid w:val="00F65D9F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D1C2C0D-EBDF-43A3-A36F-474A6C2F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BC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int/portar/2024/portaria-297-2-outubro-2024-796441-publicacaooriginal-173294-cd-d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3578</CharactersWithSpaces>
  <SharedDoc>false</SharedDoc>
  <HLinks>
    <vt:vector size="6" baseType="variant">
      <vt:variant>
        <vt:i4>1245200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https://www2.camara.leg.br/legin/int/portar/2024/portaria-297-2-outubro-2024-796441-publicacaooriginal-173294-cd-dg.html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2025-11-20T17:44:00Z</dcterms:created>
  <dcterms:modified xsi:type="dcterms:W3CDTF">2025-11-20T17:44:00Z</dcterms:modified>
</cp:coreProperties>
</file>