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43"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CE61F4" w:rsidRPr="009A4AD1" w:rsidRDefault="00CE61F4" w:rsidP="009A4AD1">
      <w:pPr>
        <w:pStyle w:val="Cabealho"/>
        <w:jc w:val="center"/>
        <w:rPr>
          <w:b/>
          <w:sz w:val="28"/>
          <w:szCs w:val="28"/>
        </w:rPr>
      </w:pPr>
      <w:r w:rsidRPr="009A4AD1">
        <w:rPr>
          <w:b/>
          <w:sz w:val="28"/>
          <w:szCs w:val="28"/>
        </w:rPr>
        <w:t>PORTARIA Nº 3, DE 30/04/2021</w:t>
      </w:r>
    </w:p>
    <w:p w:rsidR="009A4AD1" w:rsidRPr="00EB58ED" w:rsidRDefault="00EB5F2C" w:rsidP="00EB58ED">
      <w:pPr>
        <w:pStyle w:val="Cabealho"/>
        <w:jc w:val="center"/>
        <w:rPr>
          <w:i/>
          <w:sz w:val="24"/>
          <w:szCs w:val="24"/>
        </w:rPr>
      </w:pPr>
      <w:hyperlink r:id="rId7" w:history="1">
        <w:r w:rsidR="008F4602" w:rsidRPr="00EB5F2C">
          <w:rPr>
            <w:rStyle w:val="Hyperlink"/>
            <w:i/>
            <w:sz w:val="24"/>
            <w:szCs w:val="24"/>
          </w:rPr>
          <w:t>(Revogada pela Portaria nº 1, de 13/4/2022, em vigor em 18/4/2022)</w:t>
        </w:r>
      </w:hyperlink>
    </w:p>
    <w:p w:rsidR="009A4AD1" w:rsidRDefault="009A4AD1" w:rsidP="00CE61F4">
      <w:pPr>
        <w:pStyle w:val="Cabealho"/>
        <w:jc w:val="both"/>
        <w:rPr>
          <w:sz w:val="24"/>
          <w:szCs w:val="24"/>
        </w:rPr>
      </w:pPr>
    </w:p>
    <w:p w:rsidR="00CE61F4" w:rsidRPr="00CE61F4" w:rsidRDefault="00CE61F4" w:rsidP="009A4AD1">
      <w:pPr>
        <w:pStyle w:val="Cabealho"/>
        <w:ind w:left="4536"/>
        <w:jc w:val="both"/>
        <w:rPr>
          <w:sz w:val="24"/>
          <w:szCs w:val="24"/>
        </w:rPr>
      </w:pPr>
      <w:r w:rsidRPr="00CE61F4">
        <w:rPr>
          <w:sz w:val="24"/>
          <w:szCs w:val="24"/>
        </w:rPr>
        <w:t>Regulamenta a delegação de acesso para uso do Sistema de Identificação de Visitantes e estabelece quantitativo máximo de convidados por gabinetes e órgãos com titularidade parlamentar durante o período de vigência das medidas de prevenção à infecção e à propagação do Covid-19.</w:t>
      </w:r>
    </w:p>
    <w:p w:rsidR="009A4AD1" w:rsidRDefault="009A4AD1" w:rsidP="00CE61F4">
      <w:pPr>
        <w:pStyle w:val="Cabealho"/>
        <w:jc w:val="both"/>
        <w:rPr>
          <w:sz w:val="24"/>
          <w:szCs w:val="24"/>
        </w:rPr>
      </w:pPr>
    </w:p>
    <w:p w:rsidR="009A4AD1" w:rsidRDefault="009A4AD1" w:rsidP="00CE61F4">
      <w:pPr>
        <w:pStyle w:val="Cabealho"/>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O PRIMEIRO-SECRETÁRIO DA CÂMARA DOS DEPUTADOS, no uso de suas atribuições, considerando o disposto na Política de Segurança da Informação da Câmara dos Deputados, estabelecida pelo Ato da Mesa nº 47, de 2012, e em observância aos procedimentos e regras para fins de prevenção à infecção e à propagação do Covid-19 estabelecidas pelo Ato da Mesa nº 118, de 2020, e pela Portaria nº 70, de 2020, RESOLVE:</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1º A delegação de acesso para uso do Sistema de Identificação de Visitantes fica regulamentada por meio desta Portaria.</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2º Os procedimentos passíveis de delegação para uso do Sistema de Identificação de Visitantes compreendem as seguintes prerrogativas:</w:t>
      </w:r>
    </w:p>
    <w:p w:rsidR="00CE61F4" w:rsidRPr="00CE61F4" w:rsidRDefault="00CE61F4" w:rsidP="009A4AD1">
      <w:pPr>
        <w:pStyle w:val="Cabealho"/>
        <w:ind w:firstLine="1134"/>
        <w:jc w:val="both"/>
        <w:rPr>
          <w:sz w:val="24"/>
          <w:szCs w:val="24"/>
        </w:rPr>
      </w:pPr>
      <w:r w:rsidRPr="00CE61F4">
        <w:rPr>
          <w:sz w:val="24"/>
          <w:szCs w:val="24"/>
        </w:rPr>
        <w:t>I - agendamento de convidados;</w:t>
      </w:r>
    </w:p>
    <w:p w:rsidR="00CE61F4" w:rsidRPr="00CE61F4" w:rsidRDefault="00CE61F4" w:rsidP="009A4AD1">
      <w:pPr>
        <w:pStyle w:val="Cabealho"/>
        <w:ind w:firstLine="1134"/>
        <w:jc w:val="both"/>
        <w:rPr>
          <w:sz w:val="24"/>
          <w:szCs w:val="24"/>
        </w:rPr>
      </w:pPr>
      <w:r w:rsidRPr="00CE61F4">
        <w:rPr>
          <w:sz w:val="24"/>
          <w:szCs w:val="24"/>
        </w:rPr>
        <w:t>II - cadastramento das informações pessoais dos convidados para identificação e acesso;</w:t>
      </w:r>
    </w:p>
    <w:p w:rsidR="00CE61F4" w:rsidRPr="00CE61F4" w:rsidRDefault="00CE61F4" w:rsidP="009A4AD1">
      <w:pPr>
        <w:pStyle w:val="Cabealho"/>
        <w:ind w:firstLine="1134"/>
        <w:jc w:val="both"/>
        <w:rPr>
          <w:sz w:val="24"/>
          <w:szCs w:val="24"/>
        </w:rPr>
      </w:pPr>
      <w:r w:rsidRPr="00CE61F4">
        <w:rPr>
          <w:sz w:val="24"/>
          <w:szCs w:val="24"/>
        </w:rPr>
        <w:t>III - encaminhamento de mensagens de confirmação e de cancelamento de agendamentos.</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3º Aplicam-se às delegações de que trata esta Portaria, naquilo que couber, as disposições da Portaria da Primeira-Secretaria nº 206, de 2015.</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4º O acesso de visitantes durante o período de vigência das medidas restritivas de prevenção à infecção e à propagação da Covid-19 será limitado aos seguintes quantitativos diários, com base em parâmetros de ocupação e distanciamento definidos pelo Departamento Técnico da Casa:</w:t>
      </w:r>
    </w:p>
    <w:p w:rsidR="00CE61F4" w:rsidRPr="00C51FE5" w:rsidRDefault="00CE61F4" w:rsidP="009A4AD1">
      <w:pPr>
        <w:pStyle w:val="Cabealho"/>
        <w:ind w:firstLine="1134"/>
        <w:jc w:val="both"/>
        <w:rPr>
          <w:i/>
          <w:sz w:val="24"/>
          <w:szCs w:val="24"/>
        </w:rPr>
      </w:pPr>
      <w:r w:rsidRPr="00CE61F4">
        <w:rPr>
          <w:sz w:val="24"/>
          <w:szCs w:val="24"/>
        </w:rPr>
        <w:t xml:space="preserve">I - </w:t>
      </w:r>
      <w:r w:rsidR="00C51FE5" w:rsidRPr="00C51FE5">
        <w:rPr>
          <w:sz w:val="24"/>
          <w:szCs w:val="24"/>
        </w:rPr>
        <w:t>5 (cinco) convidados por gabinete parlamentar;</w:t>
      </w:r>
      <w:r w:rsidR="00C51FE5">
        <w:rPr>
          <w:sz w:val="24"/>
          <w:szCs w:val="24"/>
        </w:rPr>
        <w:t xml:space="preserve"> </w:t>
      </w:r>
      <w:hyperlink r:id="rId8" w:history="1">
        <w:r w:rsidR="00C51FE5" w:rsidRPr="00C51FE5">
          <w:rPr>
            <w:rStyle w:val="Hyperlink"/>
            <w:i/>
            <w:sz w:val="24"/>
            <w:szCs w:val="24"/>
          </w:rPr>
          <w:t>(Inciso com redação dada pela Portaria nº 4, de 20/8/2021)</w:t>
        </w:r>
      </w:hyperlink>
    </w:p>
    <w:p w:rsidR="00CE61F4" w:rsidRPr="00CE61F4" w:rsidRDefault="00CE61F4" w:rsidP="009A4AD1">
      <w:pPr>
        <w:pStyle w:val="Cabealho"/>
        <w:ind w:firstLine="1134"/>
        <w:jc w:val="both"/>
        <w:rPr>
          <w:sz w:val="24"/>
          <w:szCs w:val="24"/>
        </w:rPr>
      </w:pPr>
      <w:r w:rsidRPr="00CE61F4">
        <w:rPr>
          <w:sz w:val="24"/>
          <w:szCs w:val="24"/>
        </w:rPr>
        <w:t xml:space="preserve">II - </w:t>
      </w:r>
      <w:r w:rsidR="00C51FE5" w:rsidRPr="00C51FE5">
        <w:rPr>
          <w:sz w:val="24"/>
          <w:szCs w:val="24"/>
        </w:rPr>
        <w:t>por lideranças partidárias, de acordo com o Anexo I desta Portaria;</w:t>
      </w:r>
      <w:r w:rsidR="00C51FE5">
        <w:rPr>
          <w:sz w:val="24"/>
          <w:szCs w:val="24"/>
        </w:rPr>
        <w:t xml:space="preserve"> </w:t>
      </w:r>
      <w:hyperlink r:id="rId9" w:history="1">
        <w:r w:rsidR="00C51FE5" w:rsidRPr="00C51FE5">
          <w:rPr>
            <w:rStyle w:val="Hyperlink"/>
            <w:i/>
            <w:sz w:val="24"/>
            <w:szCs w:val="24"/>
          </w:rPr>
          <w:t>(Inciso com redação dada pela Portaria nº 4, de 20/8/2021)</w:t>
        </w:r>
      </w:hyperlink>
    </w:p>
    <w:p w:rsidR="00CE61F4" w:rsidRPr="00CE61F4" w:rsidRDefault="00CE61F4" w:rsidP="009A4AD1">
      <w:pPr>
        <w:pStyle w:val="Cabealho"/>
        <w:ind w:firstLine="1134"/>
        <w:jc w:val="both"/>
        <w:rPr>
          <w:sz w:val="24"/>
          <w:szCs w:val="24"/>
        </w:rPr>
      </w:pPr>
      <w:r w:rsidRPr="00CE61F4">
        <w:rPr>
          <w:sz w:val="24"/>
          <w:szCs w:val="24"/>
        </w:rPr>
        <w:t>III - 20 (vinte) convidados pelas Lideranças do Governo e da Oposição;</w:t>
      </w:r>
    </w:p>
    <w:p w:rsidR="00CE61F4" w:rsidRPr="00CE61F4" w:rsidRDefault="00CE61F4" w:rsidP="009A4AD1">
      <w:pPr>
        <w:pStyle w:val="Cabealho"/>
        <w:ind w:firstLine="1134"/>
        <w:jc w:val="both"/>
        <w:rPr>
          <w:sz w:val="24"/>
          <w:szCs w:val="24"/>
        </w:rPr>
      </w:pPr>
      <w:r w:rsidRPr="00CE61F4">
        <w:rPr>
          <w:sz w:val="24"/>
          <w:szCs w:val="24"/>
        </w:rPr>
        <w:lastRenderedPageBreak/>
        <w:t>IV - 10 (dez) convidados pelas Lideranças da Maioria e da Minoria;</w:t>
      </w:r>
    </w:p>
    <w:p w:rsidR="00CE61F4" w:rsidRPr="00CE61F4" w:rsidRDefault="00CE61F4" w:rsidP="009A4AD1">
      <w:pPr>
        <w:pStyle w:val="Cabealho"/>
        <w:ind w:firstLine="1134"/>
        <w:jc w:val="both"/>
        <w:rPr>
          <w:sz w:val="24"/>
          <w:szCs w:val="24"/>
        </w:rPr>
      </w:pPr>
      <w:r w:rsidRPr="00CE61F4">
        <w:rPr>
          <w:sz w:val="24"/>
          <w:szCs w:val="24"/>
        </w:rPr>
        <w:t>V - 25 (vinte e cinco) convidados pela Presidência da Câmara dos Deputados;</w:t>
      </w:r>
    </w:p>
    <w:p w:rsidR="00CE61F4" w:rsidRPr="00CE61F4" w:rsidRDefault="00CE61F4" w:rsidP="009A4AD1">
      <w:pPr>
        <w:pStyle w:val="Cabealho"/>
        <w:ind w:firstLine="1134"/>
        <w:jc w:val="both"/>
        <w:rPr>
          <w:sz w:val="24"/>
          <w:szCs w:val="24"/>
        </w:rPr>
      </w:pPr>
      <w:r w:rsidRPr="00CE61F4">
        <w:rPr>
          <w:sz w:val="24"/>
          <w:szCs w:val="24"/>
        </w:rPr>
        <w:t>VI - 10 (dez) convidados pelos demais órgãos da Mesa Diretora;</w:t>
      </w:r>
    </w:p>
    <w:p w:rsidR="00CE61F4" w:rsidRPr="00CE61F4" w:rsidRDefault="00CE61F4" w:rsidP="009A4AD1">
      <w:pPr>
        <w:pStyle w:val="Cabealho"/>
        <w:ind w:firstLine="1134"/>
        <w:jc w:val="both"/>
        <w:rPr>
          <w:sz w:val="24"/>
          <w:szCs w:val="24"/>
        </w:rPr>
      </w:pPr>
      <w:r w:rsidRPr="00CE61F4">
        <w:rPr>
          <w:sz w:val="24"/>
          <w:szCs w:val="24"/>
        </w:rPr>
        <w:t>VII - 10 (dez) convidados pela Comissão Mista do Orçamento; e</w:t>
      </w:r>
    </w:p>
    <w:p w:rsidR="00CE61F4" w:rsidRPr="00CE61F4" w:rsidRDefault="00CE61F4" w:rsidP="009A4AD1">
      <w:pPr>
        <w:pStyle w:val="Cabealho"/>
        <w:ind w:firstLine="1134"/>
        <w:jc w:val="both"/>
        <w:rPr>
          <w:sz w:val="24"/>
          <w:szCs w:val="24"/>
        </w:rPr>
      </w:pPr>
      <w:r w:rsidRPr="00CE61F4">
        <w:rPr>
          <w:sz w:val="24"/>
          <w:szCs w:val="24"/>
        </w:rPr>
        <w:t>VIII - 4 (quatro) convidados pelos seguintes órgãos:</w:t>
      </w:r>
    </w:p>
    <w:p w:rsidR="00CE61F4" w:rsidRPr="00CE61F4" w:rsidRDefault="00CE61F4" w:rsidP="009A4AD1">
      <w:pPr>
        <w:pStyle w:val="Cabealho"/>
        <w:ind w:firstLine="1134"/>
        <w:jc w:val="both"/>
        <w:rPr>
          <w:sz w:val="24"/>
          <w:szCs w:val="24"/>
        </w:rPr>
      </w:pPr>
      <w:r w:rsidRPr="00CE61F4">
        <w:rPr>
          <w:sz w:val="24"/>
          <w:szCs w:val="24"/>
        </w:rPr>
        <w:t>a. Suplências;</w:t>
      </w:r>
    </w:p>
    <w:p w:rsidR="00CE61F4" w:rsidRPr="00CE61F4" w:rsidRDefault="00CE61F4" w:rsidP="009A4AD1">
      <w:pPr>
        <w:pStyle w:val="Cabealho"/>
        <w:ind w:firstLine="1134"/>
        <w:jc w:val="both"/>
        <w:rPr>
          <w:sz w:val="24"/>
          <w:szCs w:val="24"/>
        </w:rPr>
      </w:pPr>
      <w:r w:rsidRPr="00CE61F4">
        <w:rPr>
          <w:sz w:val="24"/>
          <w:szCs w:val="24"/>
        </w:rPr>
        <w:t xml:space="preserve">b. </w:t>
      </w:r>
      <w:r w:rsidR="005B0E9D" w:rsidRPr="005B0E9D">
        <w:rPr>
          <w:sz w:val="24"/>
          <w:szCs w:val="24"/>
        </w:rPr>
        <w:t>Comissões Permanentes e Temporárias;</w:t>
      </w:r>
      <w:r w:rsidR="005B0E9D">
        <w:rPr>
          <w:sz w:val="24"/>
          <w:szCs w:val="24"/>
        </w:rPr>
        <w:t xml:space="preserve"> </w:t>
      </w:r>
      <w:hyperlink r:id="rId10" w:history="1">
        <w:r w:rsidR="005B0E9D" w:rsidRPr="00C51FE5">
          <w:rPr>
            <w:rStyle w:val="Hyperlink"/>
            <w:i/>
            <w:sz w:val="24"/>
            <w:szCs w:val="24"/>
          </w:rPr>
          <w:t>(</w:t>
        </w:r>
        <w:r w:rsidR="005B0E9D">
          <w:rPr>
            <w:rStyle w:val="Hyperlink"/>
            <w:i/>
            <w:sz w:val="24"/>
            <w:szCs w:val="24"/>
          </w:rPr>
          <w:t>Alínea</w:t>
        </w:r>
        <w:r w:rsidR="005B0E9D" w:rsidRPr="00C51FE5">
          <w:rPr>
            <w:rStyle w:val="Hyperlink"/>
            <w:i/>
            <w:sz w:val="24"/>
            <w:szCs w:val="24"/>
          </w:rPr>
          <w:t xml:space="preserve"> com redação dada pela Portaria nº 4, de 20/8/2021)</w:t>
        </w:r>
      </w:hyperlink>
    </w:p>
    <w:p w:rsidR="00CE61F4" w:rsidRPr="00CE61F4" w:rsidRDefault="00CE61F4" w:rsidP="009A4AD1">
      <w:pPr>
        <w:pStyle w:val="Cabealho"/>
        <w:ind w:firstLine="1134"/>
        <w:jc w:val="both"/>
        <w:rPr>
          <w:sz w:val="24"/>
          <w:szCs w:val="24"/>
        </w:rPr>
      </w:pPr>
      <w:r w:rsidRPr="00CE61F4">
        <w:rPr>
          <w:sz w:val="24"/>
          <w:szCs w:val="24"/>
        </w:rPr>
        <w:t>c. Secretaria da Mulher;</w:t>
      </w:r>
    </w:p>
    <w:p w:rsidR="00CE61F4" w:rsidRPr="00CE61F4" w:rsidRDefault="00CE61F4" w:rsidP="009A4AD1">
      <w:pPr>
        <w:pStyle w:val="Cabealho"/>
        <w:ind w:firstLine="1134"/>
        <w:jc w:val="both"/>
        <w:rPr>
          <w:sz w:val="24"/>
          <w:szCs w:val="24"/>
        </w:rPr>
      </w:pPr>
      <w:r w:rsidRPr="00CE61F4">
        <w:rPr>
          <w:sz w:val="24"/>
          <w:szCs w:val="24"/>
        </w:rPr>
        <w:t>d. Secretaria da Juventude;</w:t>
      </w:r>
    </w:p>
    <w:p w:rsidR="00CE61F4" w:rsidRPr="00CE61F4" w:rsidRDefault="00CE61F4" w:rsidP="009A4AD1">
      <w:pPr>
        <w:pStyle w:val="Cabealho"/>
        <w:ind w:firstLine="1134"/>
        <w:jc w:val="both"/>
        <w:rPr>
          <w:sz w:val="24"/>
          <w:szCs w:val="24"/>
        </w:rPr>
      </w:pPr>
      <w:r w:rsidRPr="00CE61F4">
        <w:rPr>
          <w:sz w:val="24"/>
          <w:szCs w:val="24"/>
        </w:rPr>
        <w:t>e. Ouvidoria Parlamentar;</w:t>
      </w:r>
    </w:p>
    <w:p w:rsidR="00CE61F4" w:rsidRPr="00CE61F4" w:rsidRDefault="00CE61F4" w:rsidP="009A4AD1">
      <w:pPr>
        <w:pStyle w:val="Cabealho"/>
        <w:ind w:firstLine="1134"/>
        <w:jc w:val="both"/>
        <w:rPr>
          <w:sz w:val="24"/>
          <w:szCs w:val="24"/>
        </w:rPr>
      </w:pPr>
      <w:r w:rsidRPr="00CE61F4">
        <w:rPr>
          <w:sz w:val="24"/>
          <w:szCs w:val="24"/>
        </w:rPr>
        <w:t>f. Procuradoria Parlamentar;</w:t>
      </w:r>
    </w:p>
    <w:p w:rsidR="00CE61F4" w:rsidRPr="00CE61F4" w:rsidRDefault="00CE61F4" w:rsidP="009A4AD1">
      <w:pPr>
        <w:pStyle w:val="Cabealho"/>
        <w:ind w:firstLine="1134"/>
        <w:jc w:val="both"/>
        <w:rPr>
          <w:sz w:val="24"/>
          <w:szCs w:val="24"/>
        </w:rPr>
      </w:pPr>
      <w:r w:rsidRPr="00CE61F4">
        <w:rPr>
          <w:sz w:val="24"/>
          <w:szCs w:val="24"/>
        </w:rPr>
        <w:t>g. Conselho de Ética e Decoro Parlamentar;</w:t>
      </w:r>
    </w:p>
    <w:p w:rsidR="00CE61F4" w:rsidRPr="00CE61F4" w:rsidRDefault="00CE61F4" w:rsidP="009A4AD1">
      <w:pPr>
        <w:pStyle w:val="Cabealho"/>
        <w:ind w:firstLine="1134"/>
        <w:jc w:val="both"/>
        <w:rPr>
          <w:sz w:val="24"/>
          <w:szCs w:val="24"/>
        </w:rPr>
      </w:pPr>
      <w:r w:rsidRPr="00CE61F4">
        <w:rPr>
          <w:sz w:val="24"/>
          <w:szCs w:val="24"/>
        </w:rPr>
        <w:t>h. Corregedoria Parlamentar;</w:t>
      </w:r>
    </w:p>
    <w:p w:rsidR="00CE61F4" w:rsidRPr="00CE61F4" w:rsidRDefault="00CE61F4" w:rsidP="009A4AD1">
      <w:pPr>
        <w:pStyle w:val="Cabealho"/>
        <w:ind w:firstLine="1134"/>
        <w:jc w:val="both"/>
        <w:rPr>
          <w:sz w:val="24"/>
          <w:szCs w:val="24"/>
        </w:rPr>
      </w:pPr>
      <w:r w:rsidRPr="00CE61F4">
        <w:rPr>
          <w:sz w:val="24"/>
          <w:szCs w:val="24"/>
        </w:rPr>
        <w:t>i. Secretaria de Relações Internacionais;</w:t>
      </w:r>
    </w:p>
    <w:p w:rsidR="00CE61F4" w:rsidRPr="00CE61F4" w:rsidRDefault="00CE61F4" w:rsidP="009A4AD1">
      <w:pPr>
        <w:pStyle w:val="Cabealho"/>
        <w:ind w:firstLine="1134"/>
        <w:jc w:val="both"/>
        <w:rPr>
          <w:sz w:val="24"/>
          <w:szCs w:val="24"/>
        </w:rPr>
      </w:pPr>
      <w:r w:rsidRPr="00CE61F4">
        <w:rPr>
          <w:sz w:val="24"/>
          <w:szCs w:val="24"/>
        </w:rPr>
        <w:t>j. Secretaria de Comunicação Social;</w:t>
      </w:r>
    </w:p>
    <w:p w:rsidR="00CE61F4" w:rsidRPr="00CE61F4" w:rsidRDefault="00CE61F4" w:rsidP="009A4AD1">
      <w:pPr>
        <w:pStyle w:val="Cabealho"/>
        <w:ind w:firstLine="1134"/>
        <w:jc w:val="both"/>
        <w:rPr>
          <w:sz w:val="24"/>
          <w:szCs w:val="24"/>
        </w:rPr>
      </w:pPr>
      <w:r w:rsidRPr="00CE61F4">
        <w:rPr>
          <w:sz w:val="24"/>
          <w:szCs w:val="24"/>
        </w:rPr>
        <w:t>k. Secretaria de Participação, Integração e Mídias Digitais;</w:t>
      </w:r>
    </w:p>
    <w:p w:rsidR="00CE61F4" w:rsidRPr="00CE61F4" w:rsidRDefault="00CE61F4" w:rsidP="009A4AD1">
      <w:pPr>
        <w:pStyle w:val="Cabealho"/>
        <w:ind w:firstLine="1134"/>
        <w:jc w:val="both"/>
        <w:rPr>
          <w:sz w:val="24"/>
          <w:szCs w:val="24"/>
        </w:rPr>
      </w:pPr>
      <w:r w:rsidRPr="00CE61F4">
        <w:rPr>
          <w:sz w:val="24"/>
          <w:szCs w:val="24"/>
        </w:rPr>
        <w:t>l. Secretaria da Transparência;</w:t>
      </w:r>
    </w:p>
    <w:p w:rsidR="00CE61F4" w:rsidRPr="00CE61F4" w:rsidRDefault="00CE61F4" w:rsidP="009A4AD1">
      <w:pPr>
        <w:pStyle w:val="Cabealho"/>
        <w:ind w:firstLine="1134"/>
        <w:jc w:val="both"/>
        <w:rPr>
          <w:sz w:val="24"/>
          <w:szCs w:val="24"/>
        </w:rPr>
      </w:pPr>
      <w:r w:rsidRPr="00CE61F4">
        <w:rPr>
          <w:sz w:val="24"/>
          <w:szCs w:val="24"/>
        </w:rPr>
        <w:t>m. Diretoria-Geral; e</w:t>
      </w:r>
    </w:p>
    <w:p w:rsidR="00CE61F4" w:rsidRPr="00CE61F4" w:rsidRDefault="00CE61F4" w:rsidP="009A4AD1">
      <w:pPr>
        <w:pStyle w:val="Cabealho"/>
        <w:ind w:firstLine="1134"/>
        <w:jc w:val="both"/>
        <w:rPr>
          <w:sz w:val="24"/>
          <w:szCs w:val="24"/>
        </w:rPr>
      </w:pPr>
      <w:r w:rsidRPr="00CE61F4">
        <w:rPr>
          <w:sz w:val="24"/>
          <w:szCs w:val="24"/>
        </w:rPr>
        <w:t>n. Secretaria-Geral da Mesa.</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5º O acesso de prestadores de serviços, indispensáveis ao funcionamento e manutenção da Casa, deverá ser comunicado e requerido junto ao Departamento de Polícia Legislativa, que manterá rígido controle sobre os dados de acesso e ciência da Primeira Secretaria.</w:t>
      </w:r>
    </w:p>
    <w:p w:rsidR="00CE61F4" w:rsidRDefault="00CE61F4" w:rsidP="009A4AD1">
      <w:pPr>
        <w:pStyle w:val="Cabealho"/>
        <w:ind w:firstLine="1134"/>
        <w:jc w:val="both"/>
        <w:rPr>
          <w:sz w:val="24"/>
          <w:szCs w:val="24"/>
        </w:rPr>
      </w:pPr>
    </w:p>
    <w:p w:rsidR="00FC2EA5" w:rsidRDefault="00FC2EA5" w:rsidP="009A4AD1">
      <w:pPr>
        <w:pStyle w:val="Cabealho"/>
        <w:ind w:firstLine="1134"/>
        <w:jc w:val="both"/>
        <w:rPr>
          <w:sz w:val="24"/>
          <w:szCs w:val="24"/>
        </w:rPr>
      </w:pPr>
      <w:r w:rsidRPr="00FC2EA5">
        <w:rPr>
          <w:sz w:val="24"/>
          <w:szCs w:val="24"/>
        </w:rPr>
        <w:t>Art. 5º-A O acesso de dependentes legais junto ao Departamento Médico da Câmara dos Deputados ocorrerá em decorrência de emergência ou urgência médicas, ou mediante marcação prévia para consulta presencial ou realização de exames laboratoriais, em conformidade com as medidas de prevenção à infecção e à propagação do Covid-19 adotadas pelo Departamento.</w:t>
      </w:r>
      <w:r>
        <w:rPr>
          <w:sz w:val="24"/>
          <w:szCs w:val="24"/>
        </w:rPr>
        <w:t xml:space="preserve"> </w:t>
      </w:r>
      <w:hyperlink r:id="rId11" w:history="1">
        <w:r w:rsidRPr="00C51FE5">
          <w:rPr>
            <w:rStyle w:val="Hyperlink"/>
            <w:i/>
            <w:sz w:val="24"/>
            <w:szCs w:val="24"/>
          </w:rPr>
          <w:t>(</w:t>
        </w:r>
        <w:r>
          <w:rPr>
            <w:rStyle w:val="Hyperlink"/>
            <w:i/>
            <w:sz w:val="24"/>
            <w:szCs w:val="24"/>
          </w:rPr>
          <w:t>Artigo acrescido</w:t>
        </w:r>
        <w:r w:rsidRPr="00C51FE5">
          <w:rPr>
            <w:rStyle w:val="Hyperlink"/>
            <w:i/>
            <w:sz w:val="24"/>
            <w:szCs w:val="24"/>
          </w:rPr>
          <w:t xml:space="preserve"> pela Portaria nº 4, de 20/8/2021)</w:t>
        </w:r>
      </w:hyperlink>
    </w:p>
    <w:p w:rsidR="00FC2EA5" w:rsidRPr="00CE61F4" w:rsidRDefault="00FC2EA5"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6º Esta Portaria entra em vigor na data de sua publicação.</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Art. 7º Fica revogada a Portaria nº 2, de 26/2/2021, do Primeiro</w:t>
      </w:r>
      <w:r w:rsidR="009A4AD1">
        <w:rPr>
          <w:sz w:val="24"/>
          <w:szCs w:val="24"/>
        </w:rPr>
        <w:t>-</w:t>
      </w:r>
      <w:r w:rsidRPr="00CE61F4">
        <w:rPr>
          <w:sz w:val="24"/>
          <w:szCs w:val="24"/>
        </w:rPr>
        <w:t>Secretário.</w:t>
      </w:r>
    </w:p>
    <w:p w:rsidR="00CE61F4" w:rsidRPr="00CE61F4" w:rsidRDefault="00CE61F4" w:rsidP="009A4AD1">
      <w:pPr>
        <w:pStyle w:val="Cabealho"/>
        <w:ind w:firstLine="1134"/>
        <w:jc w:val="both"/>
        <w:rPr>
          <w:sz w:val="24"/>
          <w:szCs w:val="24"/>
        </w:rPr>
      </w:pPr>
    </w:p>
    <w:p w:rsidR="00CE61F4" w:rsidRPr="00CE61F4" w:rsidRDefault="00CE61F4" w:rsidP="009A4AD1">
      <w:pPr>
        <w:pStyle w:val="Cabealho"/>
        <w:ind w:firstLine="1134"/>
        <w:jc w:val="both"/>
        <w:rPr>
          <w:sz w:val="24"/>
          <w:szCs w:val="24"/>
        </w:rPr>
      </w:pPr>
      <w:r w:rsidRPr="00CE61F4">
        <w:rPr>
          <w:sz w:val="24"/>
          <w:szCs w:val="24"/>
        </w:rPr>
        <w:t>DEPUTADO LUCIANO BIVAR</w:t>
      </w:r>
    </w:p>
    <w:p w:rsidR="00A81702" w:rsidRDefault="00CE61F4" w:rsidP="009A4AD1">
      <w:pPr>
        <w:pStyle w:val="Cabealho"/>
        <w:ind w:firstLine="1134"/>
        <w:jc w:val="both"/>
        <w:rPr>
          <w:sz w:val="24"/>
          <w:szCs w:val="24"/>
        </w:rPr>
      </w:pPr>
      <w:r w:rsidRPr="00CE61F4">
        <w:rPr>
          <w:sz w:val="24"/>
          <w:szCs w:val="24"/>
        </w:rPr>
        <w:t>Primeiro-Secretário</w:t>
      </w:r>
    </w:p>
    <w:p w:rsidR="00CE61F4" w:rsidRDefault="00CE61F4" w:rsidP="00CE61F4">
      <w:pPr>
        <w:pStyle w:val="Cabealho"/>
        <w:jc w:val="both"/>
        <w:rPr>
          <w:sz w:val="24"/>
          <w:szCs w:val="24"/>
        </w:rPr>
      </w:pPr>
    </w:p>
    <w:p w:rsidR="00866A11" w:rsidRPr="00866A11" w:rsidRDefault="00866A11" w:rsidP="0021486F">
      <w:pPr>
        <w:jc w:val="center"/>
        <w:rPr>
          <w:sz w:val="24"/>
          <w:szCs w:val="24"/>
        </w:rPr>
      </w:pPr>
      <w:r w:rsidRPr="00866A11">
        <w:rPr>
          <w:sz w:val="24"/>
          <w:szCs w:val="24"/>
        </w:rPr>
        <w:t>ANEXO I</w:t>
      </w:r>
    </w:p>
    <w:p w:rsidR="00866A11" w:rsidRDefault="00866A11" w:rsidP="0021486F">
      <w:pPr>
        <w:jc w:val="center"/>
        <w:rPr>
          <w:sz w:val="24"/>
          <w:szCs w:val="24"/>
        </w:rPr>
      </w:pPr>
      <w:r w:rsidRPr="00866A11">
        <w:rPr>
          <w:sz w:val="24"/>
          <w:szCs w:val="24"/>
        </w:rPr>
        <w:t>(ART. 4º, II)</w:t>
      </w:r>
    </w:p>
    <w:p w:rsidR="0021486F" w:rsidRPr="00866A11" w:rsidRDefault="008716C7" w:rsidP="0021486F">
      <w:pPr>
        <w:jc w:val="center"/>
        <w:rPr>
          <w:sz w:val="24"/>
          <w:szCs w:val="24"/>
        </w:rPr>
      </w:pPr>
      <w:hyperlink r:id="rId12" w:history="1">
        <w:r w:rsidR="0021486F" w:rsidRPr="008716C7">
          <w:rPr>
            <w:rStyle w:val="Hyperlink"/>
            <w:i/>
            <w:sz w:val="24"/>
            <w:szCs w:val="24"/>
          </w:rPr>
          <w:t>(Anexo com redação dada pelo Anexo I à Portaria nº 4, de 20/8/2021)</w:t>
        </w:r>
      </w:hyperlink>
    </w:p>
    <w:p w:rsidR="0021486F" w:rsidRDefault="0021486F" w:rsidP="00866A11">
      <w:pPr>
        <w:ind w:left="10"/>
        <w:rPr>
          <w:sz w:val="24"/>
          <w:szCs w:val="24"/>
        </w:rPr>
      </w:pPr>
    </w:p>
    <w:p w:rsidR="00866A11" w:rsidRPr="00866A11" w:rsidRDefault="00866A11" w:rsidP="008716C7">
      <w:pPr>
        <w:ind w:left="10"/>
        <w:jc w:val="center"/>
        <w:rPr>
          <w:sz w:val="24"/>
          <w:szCs w:val="24"/>
        </w:rPr>
      </w:pPr>
      <w:r w:rsidRPr="00866A11">
        <w:rPr>
          <w:sz w:val="24"/>
          <w:szCs w:val="24"/>
        </w:rPr>
        <w:t>Quantitativo máximo diário de convidados das lideranças partidárias de acesso à Câmara dos Deputados, sistema Sivis, durante o período de vigência das restrições decorrentes da pandemia do Coronavírus</w:t>
      </w:r>
    </w:p>
    <w:p w:rsidR="00866A11" w:rsidRPr="00866A11" w:rsidRDefault="00866A11" w:rsidP="0021486F">
      <w:pPr>
        <w:spacing w:line="259" w:lineRule="auto"/>
        <w:rPr>
          <w:sz w:val="24"/>
          <w:szCs w:val="24"/>
        </w:rPr>
      </w:pPr>
    </w:p>
    <w:tbl>
      <w:tblPr>
        <w:tblW w:w="6882" w:type="dxa"/>
        <w:tblInd w:w="1791" w:type="dxa"/>
        <w:tblCellMar>
          <w:top w:w="59" w:type="dxa"/>
          <w:right w:w="58" w:type="dxa"/>
        </w:tblCellMar>
        <w:tblLook w:val="04A0" w:firstRow="1" w:lastRow="0" w:firstColumn="1" w:lastColumn="0" w:noHBand="0" w:noVBand="1"/>
      </w:tblPr>
      <w:tblGrid>
        <w:gridCol w:w="2420"/>
        <w:gridCol w:w="2081"/>
        <w:gridCol w:w="2381"/>
      </w:tblGrid>
      <w:tr w:rsidR="00866A11" w:rsidRPr="00C22551" w:rsidTr="00C22551">
        <w:trPr>
          <w:trHeight w:val="878"/>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jc w:val="center"/>
              <w:rPr>
                <w:sz w:val="24"/>
                <w:szCs w:val="24"/>
              </w:rPr>
            </w:pPr>
            <w:r w:rsidRPr="00C22551">
              <w:rPr>
                <w:sz w:val="24"/>
                <w:szCs w:val="24"/>
              </w:rPr>
              <w:lastRenderedPageBreak/>
              <w:t>LIDERANÇA BANCADA</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3"/>
              <w:jc w:val="center"/>
              <w:rPr>
                <w:sz w:val="24"/>
                <w:szCs w:val="24"/>
              </w:rPr>
            </w:pPr>
            <w:r w:rsidRPr="00C22551">
              <w:rPr>
                <w:sz w:val="24"/>
                <w:szCs w:val="24"/>
              </w:rPr>
              <w:t>BANCADA</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after="17" w:line="259" w:lineRule="auto"/>
              <w:ind w:left="146"/>
              <w:jc w:val="center"/>
              <w:rPr>
                <w:sz w:val="24"/>
                <w:szCs w:val="24"/>
              </w:rPr>
            </w:pPr>
            <w:r w:rsidRPr="00C22551">
              <w:rPr>
                <w:sz w:val="24"/>
                <w:szCs w:val="24"/>
              </w:rPr>
              <w:t>LIMITE DIÁRIO</w:t>
            </w:r>
          </w:p>
          <w:p w:rsidR="00866A11" w:rsidRPr="00C22551" w:rsidRDefault="00866A11" w:rsidP="00C22551">
            <w:pPr>
              <w:spacing w:line="259" w:lineRule="auto"/>
              <w:ind w:left="146"/>
              <w:jc w:val="center"/>
              <w:rPr>
                <w:sz w:val="24"/>
                <w:szCs w:val="24"/>
              </w:rPr>
            </w:pPr>
            <w:r w:rsidRPr="00C22551">
              <w:rPr>
                <w:sz w:val="24"/>
                <w:szCs w:val="24"/>
              </w:rPr>
              <w:t>DE CONVIDADOS</w:t>
            </w:r>
          </w:p>
        </w:tc>
      </w:tr>
      <w:tr w:rsidR="00866A11" w:rsidRPr="00C22551" w:rsidTr="00C22551">
        <w:trPr>
          <w:trHeight w:val="31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PT</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53</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27</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PSL</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53</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27</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PL</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41</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21</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PP</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40</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20</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 xml:space="preserve">PSD </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35</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18</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MDB</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34</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17</w:t>
            </w:r>
            <w:r w:rsidRPr="00C22551">
              <w:rPr>
                <w:rFonts w:eastAsia="Calibri"/>
                <w:sz w:val="24"/>
                <w:szCs w:val="24"/>
              </w:rPr>
              <w:t xml:space="preserve"> </w:t>
            </w:r>
          </w:p>
        </w:tc>
      </w:tr>
      <w:tr w:rsidR="00866A11" w:rsidRPr="00C22551" w:rsidTr="00C22551">
        <w:trPr>
          <w:trHeight w:val="31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PSDB</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34</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17</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REPUBLICANOS</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33</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17</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PSB</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30</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15</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DEM</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29</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15</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PDT</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25</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13</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SOLIDARIEDADE</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14</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7</w:t>
            </w:r>
            <w:r w:rsidRPr="00C22551">
              <w:rPr>
                <w:rFonts w:eastAsia="Calibri"/>
                <w:sz w:val="24"/>
                <w:szCs w:val="24"/>
              </w:rPr>
              <w:t xml:space="preserve"> </w:t>
            </w:r>
          </w:p>
        </w:tc>
      </w:tr>
      <w:tr w:rsidR="00866A11" w:rsidRPr="00C22551" w:rsidTr="00C22551">
        <w:trPr>
          <w:trHeight w:val="31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PROS</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11</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6</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PSC</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11</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6</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PTB</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10</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5</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PODEMOS</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10</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5</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PSOL</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10</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5</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AVANTE</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8</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r>
      <w:tr w:rsidR="00866A11" w:rsidRPr="00C22551" w:rsidTr="00C22551">
        <w:trPr>
          <w:trHeight w:val="31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NOVO</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8</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PCdoB</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7</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CIDADANIA</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6</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 xml:space="preserve">PATRIOTA </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6</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r>
      <w:tr w:rsidR="00866A11" w:rsidRPr="00C22551" w:rsidTr="00C22551">
        <w:trPr>
          <w:trHeight w:val="31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PV</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4</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w:t>
            </w:r>
            <w:r w:rsidRPr="00C22551">
              <w:rPr>
                <w:rFonts w:eastAsia="Calibri"/>
                <w:sz w:val="24"/>
                <w:szCs w:val="24"/>
              </w:rPr>
              <w:t xml:space="preserve"> </w:t>
            </w:r>
          </w:p>
        </w:tc>
      </w:tr>
      <w:tr w:rsidR="00866A11" w:rsidRPr="00C22551" w:rsidTr="00C22551">
        <w:trPr>
          <w:trHeight w:val="312"/>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rPr>
                <w:sz w:val="24"/>
                <w:szCs w:val="24"/>
              </w:rPr>
            </w:pPr>
            <w:r w:rsidRPr="00C22551">
              <w:rPr>
                <w:sz w:val="24"/>
                <w:szCs w:val="24"/>
              </w:rPr>
              <w:t>REDE</w:t>
            </w:r>
            <w:r w:rsidRPr="00C22551">
              <w:rPr>
                <w:rFonts w:eastAsia="Calibri"/>
                <w:sz w:val="24"/>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1</w:t>
            </w:r>
            <w:r w:rsidRPr="00C22551">
              <w:rPr>
                <w:rFonts w:eastAsia="Calibri"/>
                <w:sz w:val="24"/>
                <w:szCs w:val="24"/>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66A11" w:rsidRPr="00C22551" w:rsidRDefault="00866A11" w:rsidP="00C22551">
            <w:pPr>
              <w:spacing w:line="259" w:lineRule="auto"/>
              <w:ind w:right="50"/>
              <w:jc w:val="right"/>
              <w:rPr>
                <w:sz w:val="24"/>
                <w:szCs w:val="24"/>
              </w:rPr>
            </w:pPr>
            <w:r w:rsidRPr="00C22551">
              <w:rPr>
                <w:sz w:val="24"/>
                <w:szCs w:val="24"/>
              </w:rPr>
              <w:t>2</w:t>
            </w:r>
            <w:r w:rsidRPr="00C22551">
              <w:rPr>
                <w:rFonts w:eastAsia="Calibri"/>
                <w:sz w:val="24"/>
                <w:szCs w:val="24"/>
              </w:rPr>
              <w:t xml:space="preserve"> </w:t>
            </w:r>
          </w:p>
        </w:tc>
      </w:tr>
    </w:tbl>
    <w:p w:rsidR="00CE61F4" w:rsidRPr="00866A11" w:rsidRDefault="00CE61F4" w:rsidP="00CE61F4">
      <w:pPr>
        <w:pStyle w:val="Cabealho"/>
        <w:jc w:val="both"/>
        <w:rPr>
          <w:sz w:val="24"/>
          <w:szCs w:val="24"/>
        </w:rPr>
      </w:pPr>
    </w:p>
    <w:p w:rsidR="00CE61F4" w:rsidRPr="00866A11" w:rsidRDefault="00CE61F4" w:rsidP="00CE61F4">
      <w:pPr>
        <w:pStyle w:val="Cabealho"/>
        <w:jc w:val="both"/>
        <w:rPr>
          <w:sz w:val="24"/>
          <w:szCs w:val="24"/>
        </w:rPr>
      </w:pPr>
    </w:p>
    <w:sectPr w:rsidR="00CE61F4" w:rsidRPr="00866A1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63775"/>
    <w:rsid w:val="00175214"/>
    <w:rsid w:val="001874F8"/>
    <w:rsid w:val="001A4BC9"/>
    <w:rsid w:val="001B2C33"/>
    <w:rsid w:val="001E3039"/>
    <w:rsid w:val="002022C2"/>
    <w:rsid w:val="00202D1E"/>
    <w:rsid w:val="002055E6"/>
    <w:rsid w:val="00212338"/>
    <w:rsid w:val="0021486F"/>
    <w:rsid w:val="00232766"/>
    <w:rsid w:val="00237EC3"/>
    <w:rsid w:val="00261397"/>
    <w:rsid w:val="00263A93"/>
    <w:rsid w:val="00263EDC"/>
    <w:rsid w:val="00265D8F"/>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06F9A"/>
    <w:rsid w:val="005166E5"/>
    <w:rsid w:val="00542216"/>
    <w:rsid w:val="00563BA5"/>
    <w:rsid w:val="00577DFB"/>
    <w:rsid w:val="005B0E9D"/>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A11"/>
    <w:rsid w:val="008716C7"/>
    <w:rsid w:val="008732AA"/>
    <w:rsid w:val="00876610"/>
    <w:rsid w:val="00883AFE"/>
    <w:rsid w:val="008C5F6B"/>
    <w:rsid w:val="008D039C"/>
    <w:rsid w:val="008E4285"/>
    <w:rsid w:val="008F4602"/>
    <w:rsid w:val="008F51DC"/>
    <w:rsid w:val="00951C6A"/>
    <w:rsid w:val="00967956"/>
    <w:rsid w:val="009949A2"/>
    <w:rsid w:val="00997852"/>
    <w:rsid w:val="009A4AD1"/>
    <w:rsid w:val="009D26E2"/>
    <w:rsid w:val="009E2F21"/>
    <w:rsid w:val="009F1493"/>
    <w:rsid w:val="00A26D07"/>
    <w:rsid w:val="00A270C0"/>
    <w:rsid w:val="00A43F13"/>
    <w:rsid w:val="00A54BF7"/>
    <w:rsid w:val="00A60C8A"/>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A7F3E"/>
    <w:rsid w:val="00BB66B4"/>
    <w:rsid w:val="00BD136A"/>
    <w:rsid w:val="00BD6ADA"/>
    <w:rsid w:val="00BE1A48"/>
    <w:rsid w:val="00C038C8"/>
    <w:rsid w:val="00C0484C"/>
    <w:rsid w:val="00C1773A"/>
    <w:rsid w:val="00C20425"/>
    <w:rsid w:val="00C22551"/>
    <w:rsid w:val="00C35CC0"/>
    <w:rsid w:val="00C428CC"/>
    <w:rsid w:val="00C51890"/>
    <w:rsid w:val="00C51FE5"/>
    <w:rsid w:val="00C61832"/>
    <w:rsid w:val="00C66170"/>
    <w:rsid w:val="00C72B05"/>
    <w:rsid w:val="00CB7ABD"/>
    <w:rsid w:val="00CC0A60"/>
    <w:rsid w:val="00CE61F4"/>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B58ED"/>
    <w:rsid w:val="00EB5F2C"/>
    <w:rsid w:val="00EC048A"/>
    <w:rsid w:val="00EE19B8"/>
    <w:rsid w:val="00F13A54"/>
    <w:rsid w:val="00F2130B"/>
    <w:rsid w:val="00F372DB"/>
    <w:rsid w:val="00F44E2D"/>
    <w:rsid w:val="00F830DA"/>
    <w:rsid w:val="00FA29E2"/>
    <w:rsid w:val="00FC1891"/>
    <w:rsid w:val="00FC2EA5"/>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9A2D7B-8A04-4726-9507-6E426F6D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customStyle="1" w:styleId="TableGrid">
    <w:name w:val="TableGrid"/>
    <w:rsid w:val="00866A1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21/portaria-4-20-agosto-2021-791677-publicacaooriginal-163339-cd-1sec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int/portar/2022/portaria-1-13-abril-2022-792530-publicacaooriginal-165009-cd-1secm.html" TargetMode="External"/><Relationship Id="rId12" Type="http://schemas.openxmlformats.org/officeDocument/2006/relationships/hyperlink" Target="https://www2.camara.leg.br/legin/int/portar/2021/portaria-4-20-agosto-2021-791677-anexo-cd-1sec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portar/2021/portaria-4-20-agosto-2021-791677-publicacaooriginal-163339-cd-1secm.html" TargetMode="External"/><Relationship Id="rId5" Type="http://schemas.openxmlformats.org/officeDocument/2006/relationships/image" Target="media/image1.png"/><Relationship Id="rId10" Type="http://schemas.openxmlformats.org/officeDocument/2006/relationships/hyperlink" Target="https://www2.camara.leg.br/legin/int/portar/2021/portaria-4-20-agosto-2021-791677-publicacaooriginal-163339-cd-1secm.html" TargetMode="External"/><Relationship Id="rId4" Type="http://schemas.openxmlformats.org/officeDocument/2006/relationships/webSettings" Target="webSettings.xml"/><Relationship Id="rId9" Type="http://schemas.openxmlformats.org/officeDocument/2006/relationships/hyperlink" Target="https://www2.camara.leg.br/legin/int/portar/2021/portaria-4-20-agosto-2021-791677-publicacaooriginal-163339-cd-1secm.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5271</CharactersWithSpaces>
  <SharedDoc>false</SharedDoc>
  <HLinks>
    <vt:vector size="36" baseType="variant">
      <vt:variant>
        <vt:i4>655455</vt:i4>
      </vt:variant>
      <vt:variant>
        <vt:i4>15</vt:i4>
      </vt:variant>
      <vt:variant>
        <vt:i4>0</vt:i4>
      </vt:variant>
      <vt:variant>
        <vt:i4>5</vt:i4>
      </vt:variant>
      <vt:variant>
        <vt:lpwstr>https://www2.camara.leg.br/legin/int/portar/2021/portaria-4-20-agosto-2021-791677-anexo-cd-1secm.pdf</vt:lpwstr>
      </vt:variant>
      <vt:variant>
        <vt:lpwstr/>
      </vt:variant>
      <vt:variant>
        <vt:i4>6225984</vt:i4>
      </vt:variant>
      <vt:variant>
        <vt:i4>12</vt:i4>
      </vt:variant>
      <vt:variant>
        <vt:i4>0</vt:i4>
      </vt:variant>
      <vt:variant>
        <vt:i4>5</vt:i4>
      </vt:variant>
      <vt:variant>
        <vt:lpwstr>https://www2.camara.leg.br/legin/int/portar/2021/portaria-4-20-agosto-2021-791677-publicacaooriginal-163339-cd-1secm.html</vt:lpwstr>
      </vt:variant>
      <vt:variant>
        <vt:lpwstr/>
      </vt:variant>
      <vt:variant>
        <vt:i4>6225984</vt:i4>
      </vt:variant>
      <vt:variant>
        <vt:i4>9</vt:i4>
      </vt:variant>
      <vt:variant>
        <vt:i4>0</vt:i4>
      </vt:variant>
      <vt:variant>
        <vt:i4>5</vt:i4>
      </vt:variant>
      <vt:variant>
        <vt:lpwstr>https://www2.camara.leg.br/legin/int/portar/2021/portaria-4-20-agosto-2021-791677-publicacaooriginal-163339-cd-1secm.html</vt:lpwstr>
      </vt:variant>
      <vt:variant>
        <vt:lpwstr/>
      </vt:variant>
      <vt:variant>
        <vt:i4>6225984</vt:i4>
      </vt:variant>
      <vt:variant>
        <vt:i4>6</vt:i4>
      </vt:variant>
      <vt:variant>
        <vt:i4>0</vt:i4>
      </vt:variant>
      <vt:variant>
        <vt:i4>5</vt:i4>
      </vt:variant>
      <vt:variant>
        <vt:lpwstr>https://www2.camara.leg.br/legin/int/portar/2021/portaria-4-20-agosto-2021-791677-publicacaooriginal-163339-cd-1secm.html</vt:lpwstr>
      </vt:variant>
      <vt:variant>
        <vt:lpwstr/>
      </vt:variant>
      <vt:variant>
        <vt:i4>6225984</vt:i4>
      </vt:variant>
      <vt:variant>
        <vt:i4>3</vt:i4>
      </vt:variant>
      <vt:variant>
        <vt:i4>0</vt:i4>
      </vt:variant>
      <vt:variant>
        <vt:i4>5</vt:i4>
      </vt:variant>
      <vt:variant>
        <vt:lpwstr>https://www2.camara.leg.br/legin/int/portar/2021/portaria-4-20-agosto-2021-791677-publicacaooriginal-163339-cd-1secm.html</vt:lpwstr>
      </vt:variant>
      <vt:variant>
        <vt:lpwstr/>
      </vt:variant>
      <vt:variant>
        <vt:i4>5308503</vt:i4>
      </vt:variant>
      <vt:variant>
        <vt:i4>0</vt:i4>
      </vt:variant>
      <vt:variant>
        <vt:i4>0</vt:i4>
      </vt:variant>
      <vt:variant>
        <vt:i4>5</vt:i4>
      </vt:variant>
      <vt:variant>
        <vt:lpwstr>https://www2.camara.leg.br/legin/int/portar/2022/portaria-1-13-abril-2022-792530-publicacaooriginal-165009-cd-1secm.html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2025-11-20T17:44:00Z</dcterms:created>
  <dcterms:modified xsi:type="dcterms:W3CDTF">2025-11-20T17:44:00Z</dcterms:modified>
</cp:coreProperties>
</file>