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8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A968E3" w:rsidRPr="007E3740" w:rsidRDefault="00A968E3" w:rsidP="007E3740">
      <w:pPr>
        <w:pStyle w:val="Cabealho"/>
        <w:jc w:val="center"/>
        <w:rPr>
          <w:b/>
          <w:sz w:val="28"/>
          <w:szCs w:val="28"/>
        </w:rPr>
      </w:pPr>
      <w:r w:rsidRPr="007E3740">
        <w:rPr>
          <w:b/>
          <w:sz w:val="28"/>
          <w:szCs w:val="28"/>
        </w:rPr>
        <w:t>PORTARIA Nº 196, DE 23/07/2020</w:t>
      </w:r>
    </w:p>
    <w:p w:rsidR="00A968E3" w:rsidRPr="00A968E3" w:rsidRDefault="00A968E3" w:rsidP="00A968E3">
      <w:pPr>
        <w:pStyle w:val="Cabealho"/>
        <w:jc w:val="both"/>
        <w:rPr>
          <w:sz w:val="24"/>
          <w:szCs w:val="24"/>
        </w:rPr>
      </w:pPr>
    </w:p>
    <w:p w:rsidR="00A968E3" w:rsidRPr="00A968E3" w:rsidRDefault="00A968E3" w:rsidP="00A968E3">
      <w:pPr>
        <w:pStyle w:val="Cabealho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left="4536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Dispõe sobre a adequação de pagamento associada ao atendimento de critérios de qualidade e sobre o controle da jornada de trabalho nos contratos de prestação de serviços de natureza continuada da Câmara dos Deputados. </w:t>
      </w:r>
    </w:p>
    <w:p w:rsidR="00A968E3" w:rsidRPr="00A968E3" w:rsidRDefault="00A968E3" w:rsidP="00A968E3">
      <w:pPr>
        <w:pStyle w:val="Cabealho"/>
        <w:jc w:val="both"/>
        <w:rPr>
          <w:sz w:val="24"/>
          <w:szCs w:val="24"/>
        </w:rPr>
      </w:pPr>
    </w:p>
    <w:p w:rsidR="00A968E3" w:rsidRPr="00A968E3" w:rsidRDefault="00A968E3" w:rsidP="00A968E3">
      <w:pPr>
        <w:pStyle w:val="Cabealho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O DIRETOR-GERAL DA CÂMARA DOS DEPUTADOS, no uso das atribuições que lhe confere o art. 147, XV, da Resolução n. 20, de 1971, combinado com o art. 115 da Lei 8.666/93, RESOLVE: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Art. 1º Nos contratos de prestação de serviços de caráter continuado da Câmara dos Deputados, os pagamentos à contratada serão adequados ao atendimento a critérios de qualidade, incluídos necessariamente nos instrumentos convocatório e contratual.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Parágrafo único. Os critérios de qualidade referidos no </w:t>
      </w:r>
      <w:r w:rsidRPr="00D028F1">
        <w:rPr>
          <w:i/>
          <w:sz w:val="24"/>
          <w:szCs w:val="24"/>
        </w:rPr>
        <w:t>caput</w:t>
      </w:r>
      <w:r w:rsidRPr="00A968E3">
        <w:rPr>
          <w:sz w:val="24"/>
          <w:szCs w:val="24"/>
        </w:rPr>
        <w:t xml:space="preserve"> atenderão ao estabelecido nos instrumentos de planejamento da contratação, e não englobarão itens relativos a obrigações trabalhistas, sociais, fiscais, previdenciárias, securitárias e outras decorrentes das relações de trabalho entre a contratada e seus empregados.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Art. 2º Os critérios de qualidade de que trata o art. 1º serão aferidos por meio do Indicador de Qualidade (IQ) ou instrumento substituto, devendo o seu resultado implicar adequação do pagamento à contratada sempre que esta não atingir os níveis definidos.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§1º O IQ deve ser determinado de forma objetiva e compreensível, com base em elementos observáveis e comprováveis, preferencialmente, a partir de dados obtidos por meio de ferramentas informatizadas.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§2º Os elementos essenciais do IQ estão descritos no Anexo desta Portaria.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§3º Nos instrumentos convocatório e contratual deverá constar o detalhamento dos elementos do IQ, bem como a relação entre os valores de IQ e respectivos percentuais para adequação do pagamento à contratada.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§4º Nos contratos de prestação de serviço onde for utilizado o percentual de benefícios e despesas indiretas (BDI), a adequação de pagamento incidirá, preferencialmente, sobre esse percentual.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Art. 3º Caberá ao Fiscal do Contrato: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I - a condução da avaliação dos serviços da empresa contratada, que deverá ser aferida por meio de formulário próprio, previsto nos instrumentos convocatório e contratual;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lastRenderedPageBreak/>
        <w:t xml:space="preserve">II - dar ciência à empresa contratada e ao Gestor do Contrato, se houver, ou ao Titular do Órgão Responsável das avaliações efetuadas, da forma estabelecida nos instrumentos convocatório e contratual;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III - manter registro dos relatórios de resultado, juntamente com as evidências que sustentam a avaliação.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Art. 4º Caberá ao Gestor do Contrato, se houver, ou ao Titular do Órgão Responsável: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I - propor, no planejamento da contratação, os percentuais de liberação da fatura em função da avaliação da qualidade dos serviços prestados;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II - analisar a avaliação da qualidade dos serviços e solicitar, se necessário, a aplicação de sanções administrativas.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Art. 5º Caberá ao Titular do Órgão Responsável: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I - estabelecer as diretrizes ou os modelos de formulários e relatórios de avaliação de qualidade dos serviços;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II - aprovar, no planejamento da contratação, a proposta de percentuais de liberação da fatura em função da avaliação da qualidade dos serviços prestados.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Art. 6º Nas contratações de serviços de forma continuada em que for necessário o controle da jornada de trabalho dos prestadores dos serviços, o instrumento convocatório e o instrumento contratual devem prever que a contratada fará o controle da referida jornada por meio de ponto eletrônico, a ser instalado e mantido pela contratada em número e nos locais indicados pela contratante.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Parágrafo único. O Titular do Órgão Fiscalizador poderá, justificadamente, caso se constate a ineficácia do sistema ou prejuízo significativo à gestão do contrato, decidir pela dispensa ou pela a suspensão do funcionamento do registro eletrônico para todos ou parte dos prestadores de serviço.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Art. 7º Os órgãos técnicos competentes adotarão as providências necessárias para implantação, acompanhamento e, se necessária, a atualização dos procedimentos para consecução do objetivo da presente Portaria, utilizando-se dos meios e instrumentos administrativos existentes na Câmara dos Deputados.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Art. 8º </w:t>
      </w:r>
      <w:r w:rsidR="00D028F1" w:rsidRPr="00D028F1">
        <w:rPr>
          <w:sz w:val="24"/>
          <w:szCs w:val="24"/>
        </w:rPr>
        <w:t>Esta Portaria entra em vigor no prazo de 240 (duzentos e quarenta) dias de sua publicação.</w:t>
      </w:r>
      <w:r w:rsidR="00D028F1">
        <w:rPr>
          <w:sz w:val="24"/>
          <w:szCs w:val="24"/>
        </w:rPr>
        <w:t xml:space="preserve"> </w:t>
      </w:r>
      <w:hyperlink r:id="rId7" w:history="1">
        <w:r w:rsidR="00D028F1" w:rsidRPr="00D028F1">
          <w:rPr>
            <w:rStyle w:val="Hyperlink"/>
            <w:i/>
            <w:sz w:val="24"/>
            <w:szCs w:val="24"/>
          </w:rPr>
          <w:t>(Artigo com redação dada pela Portaria nº 272, de 23/10/2020)</w:t>
        </w:r>
      </w:hyperlink>
      <w:r w:rsidRPr="00A968E3">
        <w:rPr>
          <w:sz w:val="24"/>
          <w:szCs w:val="24"/>
        </w:rPr>
        <w:t xml:space="preserve"> </w:t>
      </w: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</w:p>
    <w:p w:rsidR="00A968E3" w:rsidRPr="00A968E3" w:rsidRDefault="00A968E3" w:rsidP="007E3740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SÉRGIO SAMPAIO CONTREIRAS DE ALMEIDA </w:t>
      </w:r>
    </w:p>
    <w:p w:rsidR="00A968E3" w:rsidRPr="00A968E3" w:rsidRDefault="00A968E3" w:rsidP="00FC447B">
      <w:pPr>
        <w:pStyle w:val="Cabealho"/>
        <w:ind w:firstLine="1134"/>
        <w:jc w:val="both"/>
        <w:rPr>
          <w:sz w:val="24"/>
          <w:szCs w:val="24"/>
        </w:rPr>
      </w:pPr>
      <w:r w:rsidRPr="00A968E3">
        <w:rPr>
          <w:sz w:val="24"/>
          <w:szCs w:val="24"/>
        </w:rPr>
        <w:t xml:space="preserve">Diretor-Geral </w:t>
      </w:r>
    </w:p>
    <w:p w:rsidR="00A968E3" w:rsidRPr="00A968E3" w:rsidRDefault="00A968E3" w:rsidP="00A968E3">
      <w:pPr>
        <w:pStyle w:val="Cabealho"/>
        <w:jc w:val="both"/>
        <w:rPr>
          <w:sz w:val="24"/>
          <w:szCs w:val="24"/>
        </w:rPr>
      </w:pPr>
    </w:p>
    <w:p w:rsidR="00E85274" w:rsidRDefault="00420873" w:rsidP="00E85274">
      <w:pPr>
        <w:pStyle w:val="Cabealho"/>
        <w:jc w:val="center"/>
        <w:rPr>
          <w:sz w:val="24"/>
          <w:szCs w:val="24"/>
        </w:rPr>
      </w:pPr>
      <w:r w:rsidRPr="00E85274">
        <w:rPr>
          <w:sz w:val="24"/>
          <w:szCs w:val="24"/>
        </w:rPr>
        <w:t>ANEXO</w:t>
      </w:r>
    </w:p>
    <w:p w:rsidR="00E85274" w:rsidRDefault="00E85274" w:rsidP="00641CE8">
      <w:pPr>
        <w:pStyle w:val="Cabealho"/>
        <w:jc w:val="both"/>
        <w:rPr>
          <w:sz w:val="24"/>
          <w:szCs w:val="24"/>
        </w:rPr>
      </w:pPr>
    </w:p>
    <w:p w:rsidR="00C838F3" w:rsidRDefault="00420873" w:rsidP="00C838F3">
      <w:pPr>
        <w:pStyle w:val="Cabealho"/>
        <w:jc w:val="center"/>
        <w:rPr>
          <w:sz w:val="24"/>
          <w:szCs w:val="24"/>
        </w:rPr>
      </w:pPr>
      <w:r w:rsidRPr="00E85274">
        <w:rPr>
          <w:sz w:val="24"/>
          <w:szCs w:val="24"/>
        </w:rPr>
        <w:t>Elementos essenciais para a aplicação do Indicador de Qualidade e sua forma de cálculo</w:t>
      </w:r>
    </w:p>
    <w:p w:rsidR="00C838F3" w:rsidRDefault="00C838F3" w:rsidP="00641CE8">
      <w:pPr>
        <w:pStyle w:val="Cabealho"/>
        <w:jc w:val="both"/>
        <w:rPr>
          <w:sz w:val="24"/>
          <w:szCs w:val="24"/>
        </w:rPr>
      </w:pP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Art. 1º Os elementos essenciais para a aplicação do Indicador de Qualidade (IQ) são os seguintes: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I - fatores de qualidade relevantes e eventos demonstrativos: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lastRenderedPageBreak/>
        <w:t xml:space="preserve">a) fatores de qualidade relevantes: características observáveis na execução de serviços, distintos do próprio objeto, que contribuem significativamente para a percepção da qualidade do serviço prestado;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b) eventos demonstrativos: atividades previstas e especificadas no contrato, de forma que possam ser objetivamente apuradas, registradas e mensuradas, e que retratam um fator de qualidade relevante;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II - instrumentos de medição: conjunto de instrumentos utilizados para quantificar a ocorrência de um evento demonstrativo;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III - formas de acompanhamento: formas em que são apurados e registrados os eventos demonstrativos;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IV – periodicidade: intervalo de tempo de cálculo do IQ;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V - mecanismo de cálculo: fórmula de cálculo utilizada para a obtenção do IQ;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VI - início de vigência: momento em que se dará início ao processo de apuração, registro e mensuração do IQ;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VII - metas de qualidade admitidos e faixas de ajuste no pagamento: estabelecimento dos valores numéricos mínimos do IQ admitidos para o pagamento total ou parcial dos serviços; </w:t>
      </w:r>
    </w:p>
    <w:p w:rsidR="00CA6887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VIII - nível mínimo de qualidade e sanções: estabelecimento do valor numérico mínimo do IQ aquém do qual a empresa estará sujeita às sanções administrativas previstas em contrato. Adicionalmente, pode-se prever sujeição a sanções administrativas para situações de repetido desempenho do IQ acima do nível mínimo, mas abaixo do estabelecido para o pagamento total. </w:t>
      </w:r>
    </w:p>
    <w:p w:rsidR="00CA6887" w:rsidRDefault="00CA6887" w:rsidP="00C838F3">
      <w:pPr>
        <w:pStyle w:val="Cabealho"/>
        <w:ind w:firstLine="1134"/>
        <w:jc w:val="both"/>
        <w:rPr>
          <w:sz w:val="24"/>
          <w:szCs w:val="24"/>
        </w:rPr>
      </w:pPr>
    </w:p>
    <w:p w:rsidR="00420873" w:rsidRPr="00E85274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>Art. 2º O mecanismo de cálculo do IQ obedece à seguinte fórmula:</w:t>
      </w:r>
    </w:p>
    <w:p w:rsidR="00CA6887" w:rsidRDefault="00C26B0F" w:rsidP="00C26B0F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A6887">
        <w:rPr>
          <w:rFonts w:ascii="Cambria Math" w:hAnsi="Cambria Math" w:cs="Cambria Math"/>
          <w:sz w:val="24"/>
          <w:szCs w:val="24"/>
        </w:rPr>
        <w:t>𝑛</w:t>
      </w:r>
    </w:p>
    <w:p w:rsidR="00C26B0F" w:rsidRPr="00CA6887" w:rsidRDefault="00C26B0F" w:rsidP="00C26B0F">
      <w:pPr>
        <w:pStyle w:val="Cabealho"/>
        <w:ind w:firstLine="1134"/>
        <w:jc w:val="both"/>
        <w:rPr>
          <w:sz w:val="24"/>
          <w:szCs w:val="24"/>
        </w:rPr>
      </w:pPr>
      <w:r w:rsidRPr="00CA6887">
        <w:rPr>
          <w:sz w:val="24"/>
          <w:szCs w:val="24"/>
        </w:rPr>
        <w:t>IQ</w:t>
      </w:r>
      <w:r>
        <w:rPr>
          <w:sz w:val="24"/>
          <w:szCs w:val="24"/>
        </w:rPr>
        <w:t xml:space="preserve"> </w:t>
      </w:r>
      <w:r w:rsidRPr="00CA6887">
        <w:rPr>
          <w:sz w:val="24"/>
          <w:szCs w:val="24"/>
        </w:rPr>
        <w:t>=</w:t>
      </w:r>
      <w:r>
        <w:rPr>
          <w:sz w:val="24"/>
          <w:szCs w:val="24"/>
        </w:rPr>
        <w:t xml:space="preserve">  </w:t>
      </w:r>
      <w:r w:rsidRPr="00CA6887">
        <w:rPr>
          <w:sz w:val="24"/>
          <w:szCs w:val="24"/>
        </w:rPr>
        <w:t>∑</w:t>
      </w:r>
      <w:r>
        <w:rPr>
          <w:sz w:val="24"/>
          <w:szCs w:val="24"/>
        </w:rPr>
        <w:t xml:space="preserve">  </w:t>
      </w:r>
      <w:r w:rsidRPr="00CA6887">
        <w:rPr>
          <w:rFonts w:ascii="Cambria Math" w:hAnsi="Cambria Math" w:cs="Cambria Math"/>
          <w:sz w:val="24"/>
          <w:szCs w:val="24"/>
        </w:rPr>
        <w:t>𝑒</w:t>
      </w:r>
      <w:r w:rsidRPr="00CA6887">
        <w:rPr>
          <w:sz w:val="24"/>
          <w:szCs w:val="24"/>
        </w:rPr>
        <w:t>=1</w:t>
      </w:r>
      <w:r>
        <w:rPr>
          <w:rFonts w:ascii="Cambria Math" w:hAnsi="Cambria Math" w:cs="Cambria Math"/>
          <w:sz w:val="24"/>
          <w:szCs w:val="24"/>
        </w:rPr>
        <w:t xml:space="preserve">  </w:t>
      </w:r>
      <w:r w:rsidRPr="00CA6887">
        <w:rPr>
          <w:sz w:val="24"/>
          <w:szCs w:val="24"/>
        </w:rPr>
        <w:t>[C</w:t>
      </w:r>
      <w:r w:rsidRPr="00CA6887">
        <w:rPr>
          <w:rFonts w:ascii="Cambria Math" w:hAnsi="Cambria Math" w:cs="Cambria Math"/>
          <w:sz w:val="24"/>
          <w:szCs w:val="24"/>
        </w:rPr>
        <w:t>𝑒</w:t>
      </w:r>
      <w:r w:rsidRPr="00CA6887">
        <w:rPr>
          <w:sz w:val="24"/>
          <w:szCs w:val="24"/>
        </w:rPr>
        <w:t>×(</w:t>
      </w:r>
      <w:r w:rsidRPr="00C26B0F">
        <w:rPr>
          <w:sz w:val="24"/>
          <w:szCs w:val="24"/>
        </w:rPr>
        <w:t xml:space="preserve"> </w:t>
      </w:r>
      <w:r w:rsidRPr="00C26B0F">
        <w:rPr>
          <w:sz w:val="24"/>
          <w:szCs w:val="24"/>
          <w:u w:val="single"/>
        </w:rPr>
        <w:t>EC</w:t>
      </w:r>
      <w:r w:rsidRPr="00C26B0F">
        <w:rPr>
          <w:rFonts w:ascii="Cambria Math" w:hAnsi="Cambria Math" w:cs="Cambria Math"/>
          <w:sz w:val="24"/>
          <w:szCs w:val="24"/>
          <w:u w:val="single"/>
        </w:rPr>
        <w:t>𝑒</w:t>
      </w:r>
      <w:r w:rsidRPr="00CA6887">
        <w:rPr>
          <w:sz w:val="24"/>
          <w:szCs w:val="24"/>
        </w:rPr>
        <w:t>)]</w:t>
      </w:r>
    </w:p>
    <w:p w:rsidR="00C26B0F" w:rsidRPr="00C26B0F" w:rsidRDefault="00C26B0F" w:rsidP="00C26B0F">
      <w:pPr>
        <w:pStyle w:val="Cabealho"/>
        <w:ind w:firstLine="1134"/>
        <w:jc w:val="both"/>
        <w:rPr>
          <w:sz w:val="24"/>
          <w:szCs w:val="24"/>
          <w:u w:val="single"/>
        </w:rPr>
      </w:pPr>
      <w:r w:rsidRPr="002634E5">
        <w:rPr>
          <w:sz w:val="24"/>
          <w:szCs w:val="24"/>
        </w:rPr>
        <w:t xml:space="preserve">          </w:t>
      </w:r>
      <w:r w:rsidRPr="002634E5">
        <w:rPr>
          <w:sz w:val="24"/>
          <w:szCs w:val="24"/>
          <w:u w:val="single"/>
        </w:rPr>
        <w:t xml:space="preserve">                        ET</w:t>
      </w:r>
      <w:r w:rsidRPr="002634E5">
        <w:rPr>
          <w:rFonts w:ascii="Cambria Math" w:hAnsi="Cambria Math" w:cs="Cambria Math"/>
          <w:sz w:val="24"/>
          <w:szCs w:val="24"/>
          <w:u w:val="single"/>
        </w:rPr>
        <w:t>𝑒</w:t>
      </w:r>
      <w:r w:rsidR="002634E5" w:rsidRPr="002634E5">
        <w:rPr>
          <w:rFonts w:ascii="Cambria Math" w:hAnsi="Cambria Math" w:cs="Cambria Math"/>
          <w:sz w:val="24"/>
          <w:szCs w:val="24"/>
          <w:u w:val="single"/>
        </w:rPr>
        <w:t xml:space="preserve">  </w:t>
      </w:r>
      <w:r w:rsidR="002634E5">
        <w:rPr>
          <w:rFonts w:ascii="Cambria Math" w:hAnsi="Cambria Math" w:cs="Cambria Math"/>
          <w:sz w:val="24"/>
          <w:szCs w:val="24"/>
        </w:rPr>
        <w:t xml:space="preserve">   </w:t>
      </w:r>
      <w:r>
        <w:rPr>
          <w:rFonts w:ascii="Cambria Math" w:hAnsi="Cambria Math" w:cs="Cambria Math"/>
          <w:sz w:val="24"/>
          <w:szCs w:val="24"/>
        </w:rPr>
        <w:t xml:space="preserve">    ,      em que:</w:t>
      </w:r>
      <w:r>
        <w:rPr>
          <w:rFonts w:ascii="Cambria Math" w:hAnsi="Cambria Math" w:cs="Cambria Math"/>
          <w:sz w:val="24"/>
          <w:szCs w:val="24"/>
          <w:u w:val="single"/>
        </w:rPr>
        <w:t xml:space="preserve">   </w:t>
      </w:r>
    </w:p>
    <w:p w:rsidR="00C26B0F" w:rsidRDefault="00C26B0F" w:rsidP="00C26B0F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A6887">
        <w:rPr>
          <w:rFonts w:ascii="Cambria Math" w:hAnsi="Cambria Math" w:cs="Cambria Math"/>
          <w:sz w:val="24"/>
          <w:szCs w:val="24"/>
        </w:rPr>
        <w:t>𝑛</w:t>
      </w:r>
      <w:r>
        <w:rPr>
          <w:sz w:val="24"/>
          <w:szCs w:val="24"/>
        </w:rPr>
        <w:t xml:space="preserve">            </w:t>
      </w:r>
    </w:p>
    <w:p w:rsidR="00C26B0F" w:rsidRPr="00CA6887" w:rsidRDefault="00C26B0F" w:rsidP="00C26B0F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A6887">
        <w:rPr>
          <w:sz w:val="24"/>
          <w:szCs w:val="24"/>
        </w:rPr>
        <w:t xml:space="preserve">∑ </w:t>
      </w:r>
      <w:r>
        <w:rPr>
          <w:sz w:val="24"/>
          <w:szCs w:val="24"/>
        </w:rPr>
        <w:t xml:space="preserve">  </w:t>
      </w:r>
      <w:r w:rsidRPr="00CA6887">
        <w:rPr>
          <w:rFonts w:ascii="Cambria Math" w:hAnsi="Cambria Math" w:cs="Cambria Math"/>
          <w:sz w:val="24"/>
          <w:szCs w:val="24"/>
        </w:rPr>
        <w:t>𝑒</w:t>
      </w:r>
      <w:r w:rsidRPr="00CA6887">
        <w:rPr>
          <w:sz w:val="24"/>
          <w:szCs w:val="24"/>
        </w:rPr>
        <w:t>=1</w:t>
      </w:r>
      <w:r>
        <w:rPr>
          <w:sz w:val="24"/>
          <w:szCs w:val="24"/>
        </w:rPr>
        <w:t xml:space="preserve"> </w:t>
      </w:r>
      <w:r w:rsidRPr="00CA6887">
        <w:rPr>
          <w:sz w:val="24"/>
          <w:szCs w:val="24"/>
        </w:rPr>
        <w:t>C</w:t>
      </w:r>
      <w:r w:rsidRPr="00CA6887">
        <w:rPr>
          <w:rFonts w:ascii="Cambria Math" w:hAnsi="Cambria Math" w:cs="Cambria Math"/>
          <w:sz w:val="24"/>
          <w:szCs w:val="24"/>
        </w:rPr>
        <w:t>𝑒</w:t>
      </w:r>
    </w:p>
    <w:p w:rsidR="00C26B0F" w:rsidRPr="00CA6887" w:rsidRDefault="00C26B0F" w:rsidP="00C26B0F">
      <w:pPr>
        <w:pStyle w:val="Cabealho"/>
        <w:ind w:firstLine="1134"/>
        <w:jc w:val="both"/>
        <w:rPr>
          <w:sz w:val="24"/>
          <w:szCs w:val="24"/>
        </w:rPr>
      </w:pPr>
    </w:p>
    <w:p w:rsidR="00C838F3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IQ – Indicador de Qualidade; </w:t>
      </w:r>
    </w:p>
    <w:p w:rsidR="00C838F3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n – número total de eventos no cálculo de IQ; </w:t>
      </w:r>
    </w:p>
    <w:p w:rsidR="00C838F3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Ce – coeficiente de ponderação do evento “e”; </w:t>
      </w:r>
    </w:p>
    <w:p w:rsidR="00C838F3" w:rsidRDefault="00420873" w:rsidP="00C838F3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 xml:space="preserve">ECe – eventos demonstrativos conformes com os termos da contratação no período relativos ao evento “e”; </w:t>
      </w:r>
    </w:p>
    <w:p w:rsidR="00CA6887" w:rsidRPr="00E85274" w:rsidRDefault="00420873" w:rsidP="00C26B0F">
      <w:pPr>
        <w:pStyle w:val="Cabealho"/>
        <w:ind w:firstLine="1134"/>
        <w:jc w:val="both"/>
        <w:rPr>
          <w:sz w:val="24"/>
          <w:szCs w:val="24"/>
        </w:rPr>
      </w:pPr>
      <w:r w:rsidRPr="00E85274">
        <w:rPr>
          <w:sz w:val="24"/>
          <w:szCs w:val="24"/>
        </w:rPr>
        <w:t>ETe – o total de eventos demonstrativos ocorridos no período relativos ao evento “e”.</w:t>
      </w:r>
    </w:p>
    <w:sectPr w:rsidR="00CA6887" w:rsidRPr="00E8527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4E5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25777"/>
    <w:rsid w:val="00336482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0873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3740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0A52"/>
    <w:rsid w:val="00A968E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26B0F"/>
    <w:rsid w:val="00C35CC0"/>
    <w:rsid w:val="00C428CC"/>
    <w:rsid w:val="00C51890"/>
    <w:rsid w:val="00C61832"/>
    <w:rsid w:val="00C66170"/>
    <w:rsid w:val="00C72B05"/>
    <w:rsid w:val="00C838F3"/>
    <w:rsid w:val="00CA6887"/>
    <w:rsid w:val="00CB7ABD"/>
    <w:rsid w:val="00CC0A60"/>
    <w:rsid w:val="00CF67BB"/>
    <w:rsid w:val="00CF7403"/>
    <w:rsid w:val="00CF7858"/>
    <w:rsid w:val="00D028F1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5274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C447B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25C610-65A1-4306-9EF4-03E186BA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0/portaria-272-23-outubro-2020-790764-publicacaooriginal-161730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6760</CharactersWithSpaces>
  <SharedDoc>false</SharedDoc>
  <HLinks>
    <vt:vector size="6" baseType="variant">
      <vt:variant>
        <vt:i4>4259868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https://www2.camara.leg.br/legin/int/portar/2020/portaria-272-23-outubro-2020-790764-publicacaooriginal-161730-cd-dg.html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