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3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B5027" w:rsidRDefault="00EB5027" w:rsidP="00EB5027">
      <w:pPr>
        <w:pStyle w:val="Cabealho"/>
        <w:jc w:val="both"/>
        <w:rPr>
          <w:sz w:val="24"/>
          <w:szCs w:val="24"/>
        </w:rPr>
      </w:pPr>
    </w:p>
    <w:p w:rsidR="00EB5027" w:rsidRDefault="00EB5027" w:rsidP="00EB5027">
      <w:pPr>
        <w:pStyle w:val="Cabealho"/>
        <w:jc w:val="both"/>
        <w:rPr>
          <w:sz w:val="24"/>
          <w:szCs w:val="24"/>
        </w:rPr>
      </w:pPr>
    </w:p>
    <w:p w:rsidR="00EB5027" w:rsidRPr="00DA66EA" w:rsidRDefault="00EB5027" w:rsidP="00DA66EA">
      <w:pPr>
        <w:pStyle w:val="Cabealho"/>
        <w:jc w:val="center"/>
        <w:rPr>
          <w:b/>
          <w:sz w:val="28"/>
          <w:szCs w:val="28"/>
        </w:rPr>
      </w:pPr>
      <w:r w:rsidRPr="00DA66EA">
        <w:rPr>
          <w:b/>
          <w:sz w:val="28"/>
          <w:szCs w:val="28"/>
        </w:rPr>
        <w:t>PORTARIA Nº 274, DE 07/12/2018</w:t>
      </w:r>
    </w:p>
    <w:p w:rsidR="00DA66EA" w:rsidRDefault="00DA66EA" w:rsidP="00EB5027">
      <w:pPr>
        <w:pStyle w:val="Cabealho"/>
        <w:jc w:val="both"/>
        <w:rPr>
          <w:sz w:val="24"/>
          <w:szCs w:val="24"/>
        </w:rPr>
      </w:pPr>
    </w:p>
    <w:p w:rsidR="00DA66EA" w:rsidRDefault="00DA66EA" w:rsidP="00EB5027">
      <w:pPr>
        <w:pStyle w:val="Cabealho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B5027">
        <w:rPr>
          <w:sz w:val="24"/>
          <w:szCs w:val="24"/>
        </w:rPr>
        <w:t xml:space="preserve">onstitui Grupo de Trabalho para promover a interlocução e a cooperação da Câmara dos Deputados com o Gabinete de Transição Governamental. </w:t>
      </w:r>
    </w:p>
    <w:p w:rsidR="00DA66EA" w:rsidRDefault="00DA66EA" w:rsidP="00EB5027">
      <w:pPr>
        <w:pStyle w:val="Cabealho"/>
        <w:jc w:val="both"/>
        <w:rPr>
          <w:sz w:val="24"/>
          <w:szCs w:val="24"/>
        </w:rPr>
      </w:pPr>
    </w:p>
    <w:p w:rsidR="00DA66EA" w:rsidRDefault="00DA66EA" w:rsidP="00EB5027">
      <w:pPr>
        <w:pStyle w:val="Cabealho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O DIRETOR-GERAL DA CÂMARA DOS DEPUTADOS, no uso das atribuições que lhe confere o art. 147, inciso XV, da Resolução nº 20, de 1971, e considerando a necessidade de assessoramento dos Senhores Parlamentares que participam das atividades do Gabinete de Transição Governamental, RESOLVE: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Art. 1º Fica constituído Grupo de Trabalho para promover a interlocução e a cooperação da Câmara dos Deputados com o Gabinete de Transição Governamental.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 xml:space="preserve">Art. 2º O Grupo de Trabalho será integrado pelos seguintes servidores: 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I - Pedro Cesar Nunes Ferreira Marques de Sousa, ponto nº 245623, na qualidade de coordenador;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II - Charles de Castro Ribeiro, ponto nº 220273;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III - Daniel Borges de Morais, ponto nº 7361;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IV - Fernando Carlos Wanderley Rocha, ponto nº 6712;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V - Francisco Augusto da Costa Garcia, ponto nº 249792;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VI - Giácomo Romeis Hensel Trento, ponto nº 255968;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VII - Gustavo Chaves Lopes, ponto nº 121930;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VIII - Marco Antônio Rassier Filho, ponto nº 118346;</w:t>
      </w:r>
    </w:p>
    <w:p w:rsidR="002C2923" w:rsidRPr="002C2923" w:rsidRDefault="002C2923" w:rsidP="002C2923">
      <w:pPr>
        <w:pStyle w:val="Cabealho"/>
        <w:ind w:firstLine="1134"/>
        <w:jc w:val="both"/>
        <w:rPr>
          <w:sz w:val="24"/>
          <w:szCs w:val="24"/>
        </w:rPr>
      </w:pPr>
      <w:r w:rsidRPr="002C2923">
        <w:rPr>
          <w:sz w:val="24"/>
          <w:szCs w:val="24"/>
        </w:rPr>
        <w:t>IX - Maria das Graças de Araújo Gomes, ponto nº 113090;</w:t>
      </w:r>
    </w:p>
    <w:p w:rsidR="00EB5027" w:rsidRPr="002C2923" w:rsidRDefault="002C2923" w:rsidP="002C2923">
      <w:pPr>
        <w:pStyle w:val="Cabealho"/>
        <w:ind w:firstLine="1134"/>
        <w:jc w:val="both"/>
        <w:rPr>
          <w:i/>
          <w:sz w:val="24"/>
          <w:szCs w:val="24"/>
        </w:rPr>
      </w:pPr>
      <w:r w:rsidRPr="002C2923">
        <w:rPr>
          <w:sz w:val="24"/>
          <w:szCs w:val="24"/>
        </w:rPr>
        <w:t>X - Rose Mirian Hofmann, ponto nº 8033.</w:t>
      </w:r>
      <w:r>
        <w:rPr>
          <w:sz w:val="24"/>
          <w:szCs w:val="24"/>
        </w:rPr>
        <w:t xml:space="preserve"> </w:t>
      </w:r>
      <w:hyperlink r:id="rId7" w:history="1">
        <w:r w:rsidRPr="002C2923">
          <w:rPr>
            <w:rStyle w:val="Hyperlink"/>
            <w:i/>
            <w:sz w:val="24"/>
            <w:szCs w:val="24"/>
          </w:rPr>
          <w:t>(Artigo com redação dada pela Portaria nº 285, de 21/12/2018)</w:t>
        </w:r>
      </w:hyperlink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Art. 3º O prazo de vigência do Grupo de Trabalho se estenderá até 10 (dez) dias após a posse do candidato eleito para a Presidência da República.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Art. 4º A frequência poderá ser atestada por meio de folha de ponto manual.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Parágrafo único. Caso as atividades do Grupo de Trabalho se encerrem antes do prazo máximo estabelecido no art. 3º, deverão os servidores retornar ao controle normal de suas respectivas frequências.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lastRenderedPageBreak/>
        <w:t>Art. 5º Ficam vedados a formação de banco de horas, a percepção de gratificação por participação em grupo de trabalho, a realização de serviço extraordinário e de sessão noturna e o recebimento de adicional noturno pela participação no Grupo de Trabalho de que trata esta Portaria na hipótese de registro da frequência na forma do art. 4º.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Art. 6º A participação dos servidores relacionados no art. 2º será considerada serviço relevante, devendo ser registrado elogio em seus apontamentos funcionais ao término dos trabalhos, conforme preceitua o art. 6º da Portaria-DG nº 205, de 12 de julho de 2010.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Art</w:t>
      </w:r>
      <w:r w:rsidR="00DA66EA">
        <w:rPr>
          <w:sz w:val="24"/>
          <w:szCs w:val="24"/>
        </w:rPr>
        <w:t>.</w:t>
      </w:r>
      <w:r w:rsidRPr="00EB5027">
        <w:rPr>
          <w:sz w:val="24"/>
          <w:szCs w:val="24"/>
        </w:rPr>
        <w:t xml:space="preserve"> 7º Esta Portaria entre em vigor na data de sua publicação.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Em 07/12/2018.</w:t>
      </w: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</w:p>
    <w:p w:rsidR="00EB5027" w:rsidRPr="00EB5027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LÚCIO HENRIQUE XAVIER LOPES</w:t>
      </w:r>
    </w:p>
    <w:p w:rsidR="003B49E8" w:rsidRDefault="00EB5027" w:rsidP="00DA66EA">
      <w:pPr>
        <w:pStyle w:val="Cabealho"/>
        <w:ind w:firstLine="1134"/>
        <w:jc w:val="both"/>
        <w:rPr>
          <w:sz w:val="24"/>
          <w:szCs w:val="24"/>
        </w:rPr>
      </w:pPr>
      <w:r w:rsidRPr="00EB5027">
        <w:rPr>
          <w:sz w:val="24"/>
          <w:szCs w:val="24"/>
        </w:rPr>
        <w:t>Diretor-Geral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77988"/>
    <w:rsid w:val="000B15B1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2923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6610"/>
    <w:rsid w:val="00883AFE"/>
    <w:rsid w:val="008C5F6B"/>
    <w:rsid w:val="008D5B20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A66E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B5027"/>
    <w:rsid w:val="00EC048A"/>
    <w:rsid w:val="00EE19B8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80E9E2-B4A6-481F-BC19-1E24026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8/portaria-285-21-dezembro-2018-787519-publicacaooriginal-157073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2645</CharactersWithSpaces>
  <SharedDoc>false</SharedDoc>
  <HLinks>
    <vt:vector size="6" baseType="variant"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http://www2.camara.leg.br/legin/int/portar/2018/portaria-285-21-dezembro-2018-787519-publicacaooriginal-157073-cd-dg.html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