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922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781185" w:rsidRPr="00921B30" w:rsidRDefault="00781185" w:rsidP="00921B30">
      <w:pPr>
        <w:pStyle w:val="Cabealho"/>
        <w:jc w:val="center"/>
        <w:rPr>
          <w:b/>
          <w:sz w:val="28"/>
          <w:szCs w:val="28"/>
        </w:rPr>
      </w:pPr>
      <w:r w:rsidRPr="00921B30">
        <w:rPr>
          <w:b/>
          <w:sz w:val="28"/>
          <w:szCs w:val="28"/>
        </w:rPr>
        <w:t>PORTARIA Nº 568, DE 31/12/2012</w:t>
      </w:r>
    </w:p>
    <w:p w:rsidR="00781185" w:rsidRPr="00781185" w:rsidRDefault="00781185" w:rsidP="00781185">
      <w:pPr>
        <w:pStyle w:val="Cabealho"/>
        <w:jc w:val="both"/>
        <w:rPr>
          <w:sz w:val="24"/>
          <w:szCs w:val="24"/>
        </w:rPr>
      </w:pPr>
    </w:p>
    <w:p w:rsidR="00781185" w:rsidRPr="00781185" w:rsidRDefault="00781185" w:rsidP="00781185">
      <w:pPr>
        <w:pStyle w:val="Cabealho"/>
        <w:jc w:val="both"/>
        <w:rPr>
          <w:sz w:val="24"/>
          <w:szCs w:val="24"/>
        </w:rPr>
      </w:pPr>
    </w:p>
    <w:p w:rsidR="00781185" w:rsidRPr="00781185" w:rsidRDefault="00781185" w:rsidP="00921B30">
      <w:pPr>
        <w:pStyle w:val="Cabealho"/>
        <w:ind w:left="4536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Delega e subdelega competências ao Diretor de Recursos Humanos e, em seus impedimentos, a seus substitutos legais. </w:t>
      </w:r>
    </w:p>
    <w:p w:rsidR="00781185" w:rsidRPr="00781185" w:rsidRDefault="00781185" w:rsidP="00781185">
      <w:pPr>
        <w:pStyle w:val="Cabealho"/>
        <w:jc w:val="both"/>
        <w:rPr>
          <w:sz w:val="24"/>
          <w:szCs w:val="24"/>
        </w:rPr>
      </w:pPr>
    </w:p>
    <w:p w:rsidR="00781185" w:rsidRPr="00781185" w:rsidRDefault="00781185" w:rsidP="00781185">
      <w:pPr>
        <w:pStyle w:val="Cabealho"/>
        <w:jc w:val="both"/>
        <w:rPr>
          <w:sz w:val="24"/>
          <w:szCs w:val="24"/>
        </w:rPr>
      </w:pP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>O DIRETOR-GERAL, no uso de suas atribuições previstas no art. 147, inciso XV da Resolução nº 20, de 1971, e, considerando o disposto nos §§ 1º e 2º do art. 274 do Regimento Interno da Câmara dos Deputados e no Ato da Mesa nº 32, de 2012,</w:t>
      </w:r>
      <w:r w:rsidR="00D4645B">
        <w:rPr>
          <w:sz w:val="24"/>
          <w:szCs w:val="24"/>
        </w:rPr>
        <w:t xml:space="preserve"> </w:t>
      </w:r>
      <w:r w:rsidRPr="00781185">
        <w:rPr>
          <w:sz w:val="24"/>
          <w:szCs w:val="24"/>
        </w:rPr>
        <w:t xml:space="preserve">RESOLVE: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Art. 1º Delegar ao Diretor de Recursos Humanos e, em seus impedimentos, a seus substitutos legais as seguintes atribuições: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I - autorizar despesa com pessoal e encargos sociais relativos à remuneração, subsídios, proventos, pensões, auxílios, revisões e concessões de vantagens e de outros benefícios em favor de deputados e servidores, bem como o reconhecimento de dívida de exercícios anteriores, na forma prevista no art. 37 da Lei nº 4.320, de 1964; </w:t>
      </w:r>
    </w:p>
    <w:p w:rsidR="00781185" w:rsidRPr="00781185" w:rsidRDefault="00921B30" w:rsidP="00921B30">
      <w:pPr>
        <w:pStyle w:val="Cabealho"/>
        <w:ind w:firstLine="1134"/>
        <w:jc w:val="both"/>
        <w:rPr>
          <w:sz w:val="24"/>
          <w:szCs w:val="24"/>
        </w:rPr>
      </w:pPr>
      <w:r w:rsidRPr="00921B30">
        <w:rPr>
          <w:sz w:val="24"/>
          <w:szCs w:val="24"/>
        </w:rPr>
        <w:t>II - dispensar o prazo constante da alínea "a" do inciso I do art. 67 do Ato da Mesa nº 41, de 2000, na hipótese prevista no seu § 1º, em relação aos afastamentos previstos no inciso I do art. 66;</w:t>
      </w:r>
      <w:r>
        <w:rPr>
          <w:sz w:val="24"/>
          <w:szCs w:val="24"/>
        </w:rPr>
        <w:t xml:space="preserve"> </w:t>
      </w:r>
      <w:hyperlink r:id="rId7" w:history="1">
        <w:r w:rsidRPr="00C30DEE">
          <w:rPr>
            <w:rStyle w:val="Hyperlink"/>
            <w:i/>
            <w:sz w:val="24"/>
            <w:szCs w:val="24"/>
          </w:rPr>
          <w:t>(Inciso com redação dada pela Portaria nº 86, de 30/3/2020)</w:t>
        </w:r>
      </w:hyperlink>
      <w:r w:rsidR="00781185" w:rsidRPr="00781185">
        <w:rPr>
          <w:sz w:val="24"/>
          <w:szCs w:val="24"/>
        </w:rPr>
        <w:t xml:space="preserve">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>III - autorizar o fornecimento de cópias de processos da sua área de competência</w:t>
      </w:r>
      <w:r w:rsidR="004F107B">
        <w:rPr>
          <w:sz w:val="24"/>
          <w:szCs w:val="24"/>
        </w:rPr>
        <w:t>;</w:t>
      </w:r>
      <w:r w:rsidRPr="00781185">
        <w:rPr>
          <w:sz w:val="24"/>
          <w:szCs w:val="24"/>
        </w:rPr>
        <w:t xml:space="preserve"> </w:t>
      </w:r>
    </w:p>
    <w:p w:rsidR="004F107B" w:rsidRPr="004F107B" w:rsidRDefault="004F107B" w:rsidP="004F107B">
      <w:pPr>
        <w:pStyle w:val="Cabealho"/>
        <w:ind w:firstLine="1134"/>
        <w:jc w:val="both"/>
        <w:rPr>
          <w:sz w:val="24"/>
          <w:szCs w:val="24"/>
        </w:rPr>
      </w:pPr>
      <w:r w:rsidRPr="004F107B">
        <w:rPr>
          <w:sz w:val="24"/>
          <w:szCs w:val="24"/>
        </w:rPr>
        <w:t>IV - autorizar a realização de jornada de trabalho após às 22h, na forma do parágrafo único do art. 3º e do §3º do art. 4º da Portaria-DG nº 186, de 2015;</w:t>
      </w:r>
      <w:r>
        <w:rPr>
          <w:sz w:val="24"/>
          <w:szCs w:val="24"/>
        </w:rPr>
        <w:t xml:space="preserve"> </w:t>
      </w:r>
      <w:hyperlink r:id="rId8" w:history="1">
        <w:r w:rsidRPr="00C30DEE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C30DEE">
          <w:rPr>
            <w:rStyle w:val="Hyperlink"/>
            <w:i/>
            <w:sz w:val="24"/>
            <w:szCs w:val="24"/>
          </w:rPr>
          <w:t xml:space="preserve"> pela Portaria nº 86, de 30/3/2020)</w:t>
        </w:r>
      </w:hyperlink>
    </w:p>
    <w:p w:rsidR="00781185" w:rsidRDefault="004F107B" w:rsidP="004F107B">
      <w:pPr>
        <w:pStyle w:val="Cabealho"/>
        <w:ind w:firstLine="1134"/>
        <w:jc w:val="both"/>
        <w:rPr>
          <w:sz w:val="24"/>
          <w:szCs w:val="24"/>
        </w:rPr>
      </w:pPr>
      <w:r w:rsidRPr="004F107B">
        <w:rPr>
          <w:sz w:val="24"/>
          <w:szCs w:val="24"/>
        </w:rPr>
        <w:t>V - autorizar a realização de trabalhos em dias não úteis na hipótese prevista no caput do art. 6º da Portaria-DG nº 186, de 2015.</w:t>
      </w:r>
      <w:r>
        <w:rPr>
          <w:sz w:val="24"/>
          <w:szCs w:val="24"/>
        </w:rPr>
        <w:t xml:space="preserve"> </w:t>
      </w:r>
      <w:hyperlink r:id="rId9" w:history="1">
        <w:r w:rsidRPr="00C30DEE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C30DEE">
          <w:rPr>
            <w:rStyle w:val="Hyperlink"/>
            <w:i/>
            <w:sz w:val="24"/>
            <w:szCs w:val="24"/>
          </w:rPr>
          <w:t xml:space="preserve"> pela Portaria nº 86, de 30/3/2020)</w:t>
        </w:r>
      </w:hyperlink>
    </w:p>
    <w:p w:rsidR="004F107B" w:rsidRPr="00781185" w:rsidRDefault="004F107B" w:rsidP="00921B30">
      <w:pPr>
        <w:pStyle w:val="Cabealho"/>
        <w:ind w:firstLine="1134"/>
        <w:jc w:val="both"/>
        <w:rPr>
          <w:sz w:val="24"/>
          <w:szCs w:val="24"/>
        </w:rPr>
      </w:pP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Art. 2º Subdelegar ao Diretor de Recursos Humanos e, em seus impedimentos, a seus substitutos legais as seguintes atribuições: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I - autorizar o afastamento de servidores quando se tratar de cursos, estágios, congressos, seminários, feiras, simpósios e demais atividades, bem como a despesa decorrente desse ato, na forma do inciso I do art. 66, c/c o inciso III, do art. 70, do Regulamento do CEFOR, aprovado pelo Ato da Mesa nº 41, de 2000 e alterações;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II - autorizar as despesas relativas às atividades previstas na Portaria nº 286, de 2012, do Diretor-Geral, na forma do Regulamento aprovado pelo Ato da Mesa nº 41, de 2000, alterado pelos Atos da Mesa nº 104, de 2001 e 28, de 2003.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III - autorizar, previamente, a realização de Serviço Extraordinário pelos servidores da Câmara dos Deputados, bem como a despesa do respectivo Adicional de Serviço </w:t>
      </w:r>
      <w:r w:rsidRPr="00781185">
        <w:rPr>
          <w:sz w:val="24"/>
          <w:szCs w:val="24"/>
        </w:rPr>
        <w:lastRenderedPageBreak/>
        <w:t xml:space="preserve">Extraordinário e Adicional Noturno, na forma do Ato da Mesa nº 38, de 2000, c/c os artigos 73 e 75 da Lei nº 8.112, de 1990, e alterações;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IV - autorizar a interrupção do período de gozo de férias, na forma prevista no art. 80 da Lei nº 8.112, de 1990, e alterações; </w:t>
      </w:r>
    </w:p>
    <w:p w:rsidR="00BA602B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>V - conceder a vantagem de que trata o § 1º do art. 1º da Portaria nº 41, de 1983, do Primeiro Secretário, com suas atualizações</w:t>
      </w:r>
      <w:r w:rsidR="00BA602B">
        <w:rPr>
          <w:sz w:val="24"/>
          <w:szCs w:val="24"/>
        </w:rPr>
        <w:t>;</w:t>
      </w:r>
    </w:p>
    <w:p w:rsidR="00781185" w:rsidRPr="00781185" w:rsidRDefault="0029497D" w:rsidP="0029497D">
      <w:pPr>
        <w:pStyle w:val="Cabealho"/>
        <w:ind w:firstLine="1134"/>
        <w:jc w:val="both"/>
        <w:rPr>
          <w:sz w:val="24"/>
          <w:szCs w:val="24"/>
        </w:rPr>
      </w:pPr>
      <w:r w:rsidRPr="0029497D">
        <w:rPr>
          <w:sz w:val="24"/>
          <w:szCs w:val="24"/>
        </w:rPr>
        <w:t>VI - avaliar a conformidade processual e autorizar as</w:t>
      </w:r>
      <w:r>
        <w:rPr>
          <w:sz w:val="24"/>
          <w:szCs w:val="24"/>
        </w:rPr>
        <w:t xml:space="preserve"> </w:t>
      </w:r>
      <w:r w:rsidRPr="0029497D">
        <w:rPr>
          <w:sz w:val="24"/>
          <w:szCs w:val="24"/>
        </w:rPr>
        <w:t>contratações de pessoa física ou jurídica decorrentes dos</w:t>
      </w:r>
      <w:r>
        <w:rPr>
          <w:sz w:val="24"/>
          <w:szCs w:val="24"/>
        </w:rPr>
        <w:t xml:space="preserve"> </w:t>
      </w:r>
      <w:r w:rsidRPr="0029497D">
        <w:rPr>
          <w:sz w:val="24"/>
          <w:szCs w:val="24"/>
        </w:rPr>
        <w:t>afastamentos previstos no inciso I deste artigo, mediante</w:t>
      </w:r>
      <w:r>
        <w:rPr>
          <w:sz w:val="24"/>
          <w:szCs w:val="24"/>
        </w:rPr>
        <w:t xml:space="preserve"> </w:t>
      </w:r>
      <w:r w:rsidRPr="0029497D">
        <w:rPr>
          <w:sz w:val="24"/>
          <w:szCs w:val="24"/>
        </w:rPr>
        <w:t>inexigibilidade de licitação, na forma do art. 74, III, “f”,</w:t>
      </w:r>
      <w:r>
        <w:rPr>
          <w:sz w:val="24"/>
          <w:szCs w:val="24"/>
        </w:rPr>
        <w:t xml:space="preserve"> </w:t>
      </w:r>
      <w:r w:rsidRPr="0029497D">
        <w:rPr>
          <w:sz w:val="24"/>
          <w:szCs w:val="24"/>
        </w:rPr>
        <w:t>limitado, por curso ou evento, ao valor estabelecido no art. 75,</w:t>
      </w:r>
      <w:r>
        <w:rPr>
          <w:sz w:val="24"/>
          <w:szCs w:val="24"/>
        </w:rPr>
        <w:t xml:space="preserve"> </w:t>
      </w:r>
      <w:r w:rsidRPr="0029497D">
        <w:rPr>
          <w:sz w:val="24"/>
          <w:szCs w:val="24"/>
        </w:rPr>
        <w:t>II, consideradas as atualizações de que trata o art. 182, todos</w:t>
      </w:r>
      <w:r>
        <w:rPr>
          <w:sz w:val="24"/>
          <w:szCs w:val="24"/>
        </w:rPr>
        <w:t xml:space="preserve"> </w:t>
      </w:r>
      <w:r w:rsidRPr="0029497D">
        <w:rPr>
          <w:sz w:val="24"/>
          <w:szCs w:val="24"/>
        </w:rPr>
        <w:t>da Lei n</w:t>
      </w:r>
      <w:r>
        <w:rPr>
          <w:sz w:val="24"/>
          <w:szCs w:val="24"/>
        </w:rPr>
        <w:t>º</w:t>
      </w:r>
      <w:r w:rsidRPr="0029497D">
        <w:rPr>
          <w:sz w:val="24"/>
          <w:szCs w:val="24"/>
        </w:rPr>
        <w:t xml:space="preserve"> 14.133, de 2021.</w:t>
      </w:r>
      <w:r>
        <w:rPr>
          <w:sz w:val="24"/>
          <w:szCs w:val="24"/>
        </w:rPr>
        <w:t xml:space="preserve"> </w:t>
      </w:r>
      <w:hyperlink r:id="rId10" w:history="1">
        <w:r w:rsidR="00BA602B" w:rsidRPr="0029497D">
          <w:rPr>
            <w:rStyle w:val="Hyperlink"/>
            <w:i/>
            <w:sz w:val="24"/>
            <w:szCs w:val="24"/>
          </w:rPr>
          <w:t>(Inciso acrescido pela Portaria nº 86, de 30/3/2020</w:t>
        </w:r>
        <w:r>
          <w:rPr>
            <w:rStyle w:val="Hyperlink"/>
            <w:i/>
            <w:sz w:val="24"/>
            <w:szCs w:val="24"/>
          </w:rPr>
          <w:t>,</w:t>
        </w:r>
      </w:hyperlink>
      <w:r w:rsidRPr="0029497D">
        <w:rPr>
          <w:i/>
          <w:sz w:val="24"/>
          <w:szCs w:val="24"/>
        </w:rPr>
        <w:t xml:space="preserve"> </w:t>
      </w:r>
      <w:r w:rsidRPr="0029497D">
        <w:rPr>
          <w:i/>
          <w:color w:val="0000FF"/>
          <w:sz w:val="24"/>
          <w:szCs w:val="24"/>
        </w:rPr>
        <w:t>e</w:t>
      </w:r>
      <w:r w:rsidRPr="0029497D">
        <w:rPr>
          <w:i/>
          <w:sz w:val="24"/>
          <w:szCs w:val="24"/>
        </w:rPr>
        <w:t xml:space="preserve"> </w:t>
      </w:r>
      <w:hyperlink r:id="rId11" w:history="1">
        <w:r w:rsidRPr="0029497D">
          <w:rPr>
            <w:rStyle w:val="Hyperlink"/>
            <w:i/>
            <w:sz w:val="24"/>
            <w:szCs w:val="24"/>
          </w:rPr>
          <w:t xml:space="preserve">com </w:t>
        </w:r>
        <w:r>
          <w:rPr>
            <w:rStyle w:val="Hyperlink"/>
            <w:i/>
            <w:sz w:val="24"/>
            <w:szCs w:val="24"/>
          </w:rPr>
          <w:t xml:space="preserve">nova </w:t>
        </w:r>
        <w:r w:rsidRPr="0029497D">
          <w:rPr>
            <w:rStyle w:val="Hyperlink"/>
            <w:i/>
            <w:sz w:val="24"/>
            <w:szCs w:val="24"/>
          </w:rPr>
          <w:t>redação dada pela Portaria nº 37, de 8/2/2024)</w:t>
        </w:r>
      </w:hyperlink>
    </w:p>
    <w:p w:rsid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</w:p>
    <w:p w:rsidR="0029497D" w:rsidRDefault="0029497D" w:rsidP="00921B30">
      <w:pPr>
        <w:pStyle w:val="Cabealho"/>
        <w:ind w:firstLine="1134"/>
        <w:jc w:val="both"/>
        <w:rPr>
          <w:sz w:val="24"/>
          <w:szCs w:val="24"/>
        </w:rPr>
      </w:pPr>
      <w:r w:rsidRPr="0029497D">
        <w:rPr>
          <w:sz w:val="24"/>
          <w:szCs w:val="24"/>
        </w:rPr>
        <w:t>Art. 2º-A Fica ressalvado o exercício pelo Diretor-Geral das</w:t>
      </w:r>
      <w:r>
        <w:rPr>
          <w:sz w:val="24"/>
          <w:szCs w:val="24"/>
        </w:rPr>
        <w:t xml:space="preserve"> </w:t>
      </w:r>
      <w:r w:rsidRPr="0029497D">
        <w:rPr>
          <w:sz w:val="24"/>
          <w:szCs w:val="24"/>
        </w:rPr>
        <w:t>atribuições de que trata esta Portaria, na forma do § 1º do art.</w:t>
      </w:r>
      <w:r>
        <w:rPr>
          <w:sz w:val="24"/>
          <w:szCs w:val="24"/>
        </w:rPr>
        <w:t xml:space="preserve"> </w:t>
      </w:r>
      <w:r w:rsidRPr="0029497D">
        <w:rPr>
          <w:sz w:val="24"/>
          <w:szCs w:val="24"/>
        </w:rPr>
        <w:t>14 da Lei n° 9.784, de 29 de janeiro de 1999.</w:t>
      </w:r>
      <w:r>
        <w:rPr>
          <w:sz w:val="24"/>
          <w:szCs w:val="24"/>
        </w:rPr>
        <w:t xml:space="preserve"> </w:t>
      </w:r>
      <w:hyperlink r:id="rId12" w:history="1">
        <w:r>
          <w:rPr>
            <w:rStyle w:val="Hyperlink"/>
            <w:i/>
            <w:sz w:val="24"/>
            <w:szCs w:val="24"/>
          </w:rPr>
          <w:t xml:space="preserve">(Artigo acrescido </w:t>
        </w:r>
        <w:r w:rsidRPr="0029497D">
          <w:rPr>
            <w:rStyle w:val="Hyperlink"/>
            <w:i/>
            <w:sz w:val="24"/>
            <w:szCs w:val="24"/>
          </w:rPr>
          <w:t>pela Portaria nº 37, de 8/2/2024)</w:t>
        </w:r>
      </w:hyperlink>
    </w:p>
    <w:p w:rsidR="0029497D" w:rsidRPr="00781185" w:rsidRDefault="0029497D" w:rsidP="00921B30">
      <w:pPr>
        <w:pStyle w:val="Cabealho"/>
        <w:ind w:firstLine="1134"/>
        <w:jc w:val="both"/>
        <w:rPr>
          <w:sz w:val="24"/>
          <w:szCs w:val="24"/>
        </w:rPr>
      </w:pP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Art. 3º Fica revogada a Portaria-DG nº 107, de 2003.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Art. 4º Fica sem efeito a Portaria-DG nº 123, de 2012.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Art. 5º Esta portaria entra em vigor na data de sua publicação.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 xml:space="preserve">Em 31/12/2012 </w:t>
      </w: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</w:p>
    <w:p w:rsidR="00781185" w:rsidRPr="00781185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>ROGÉRIO VENTURA TEIXEIRA,</w:t>
      </w:r>
    </w:p>
    <w:p w:rsidR="00C51890" w:rsidRDefault="00781185" w:rsidP="00921B30">
      <w:pPr>
        <w:pStyle w:val="Cabealho"/>
        <w:ind w:firstLine="1134"/>
        <w:jc w:val="both"/>
        <w:rPr>
          <w:sz w:val="24"/>
          <w:szCs w:val="24"/>
        </w:rPr>
      </w:pPr>
      <w:r w:rsidRPr="00781185">
        <w:rPr>
          <w:sz w:val="24"/>
          <w:szCs w:val="24"/>
        </w:rPr>
        <w:t>Diretor-Geral.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76F99"/>
    <w:rsid w:val="0029497D"/>
    <w:rsid w:val="002B0AB7"/>
    <w:rsid w:val="002B3BBA"/>
    <w:rsid w:val="002E70DF"/>
    <w:rsid w:val="00314125"/>
    <w:rsid w:val="003223A1"/>
    <w:rsid w:val="00347638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4F107B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6753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1185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21B3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A602B"/>
    <w:rsid w:val="00BB66B4"/>
    <w:rsid w:val="00BD136A"/>
    <w:rsid w:val="00BD6ADA"/>
    <w:rsid w:val="00BE1A48"/>
    <w:rsid w:val="00C038C8"/>
    <w:rsid w:val="00C0484C"/>
    <w:rsid w:val="00C20425"/>
    <w:rsid w:val="00C30DEE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4645B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E5289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EE2081-A759-4D0A-A992-5E9E490C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0/portaria-86-30-marco-2020-790278-publicacaooriginal-160815-cd-dg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0/portaria-86-30-marco-2020-790278-publicacaooriginal-160815-cd-dg.html" TargetMode="External"/><Relationship Id="rId12" Type="http://schemas.openxmlformats.org/officeDocument/2006/relationships/hyperlink" Target="https://www2.camara.leg.br/legin/int/portar/2024/portaria-37-8-fevereiro-2024-795342-publicacaooriginal-171122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portar/2024/portaria-37-8-fevereiro-2024-795342-publicacaooriginal-171122-cd-dg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portar/2020/portaria-86-30-marco-2020-790278-publicacaooriginal-160815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0/portaria-86-30-marco-2020-790278-publicacaooriginal-160815-cd-dg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4678</CharactersWithSpaces>
  <SharedDoc>false</SharedDoc>
  <HLinks>
    <vt:vector size="36" baseType="variant">
      <vt:variant>
        <vt:i4>1441879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https://www2.camara.leg.br/legin/int/portar/2024/portaria-37-8-fevereiro-2024-795342-publicacaooriginal-171122-cd-dg.html</vt:lpwstr>
      </vt:variant>
      <vt:variant>
        <vt:lpwstr/>
      </vt:variant>
      <vt:variant>
        <vt:i4>1441879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https://www2.camara.leg.br/legin/int/portar/2024/portaria-37-8-fevereiro-2024-795342-publicacaooriginal-171122-cd-dg.html</vt:lpwstr>
      </vt:variant>
      <vt:variant>
        <vt:lpwstr/>
      </vt:variant>
      <vt:variant>
        <vt:i4>8126561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https://www2.camara.leg.br/legin/int/portar/2020/portaria-86-30-marco-2020-790278-publicacaooriginal-160815-cd-dg.html</vt:lpwstr>
      </vt:variant>
      <vt:variant>
        <vt:lpwstr/>
      </vt:variant>
      <vt:variant>
        <vt:i4>8126561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https://www2.camara.leg.br/legin/int/portar/2020/portaria-86-30-marco-2020-790278-publicacaooriginal-160815-cd-dg.html</vt:lpwstr>
      </vt:variant>
      <vt:variant>
        <vt:lpwstr/>
      </vt:variant>
      <vt:variant>
        <vt:i4>8126561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https://www2.camara.leg.br/legin/int/portar/2020/portaria-86-30-marco-2020-790278-publicacaooriginal-160815-cd-dg.html</vt:lpwstr>
      </vt:variant>
      <vt:variant>
        <vt:lpwstr/>
      </vt:variant>
      <vt:variant>
        <vt:i4>8126561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https://www2.camara.leg.br/legin/int/portar/2020/portaria-86-30-marco-2020-790278-publicacaooriginal-160815-cd-dg.html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2025-11-20T18:54:00Z</dcterms:created>
  <dcterms:modified xsi:type="dcterms:W3CDTF">2025-11-20T18:54:00Z</dcterms:modified>
</cp:coreProperties>
</file>