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EA" w:rsidRDefault="002736E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965" r:id="rId5"/>
        </w:object>
      </w: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2736EA" w:rsidRDefault="002736EA">
      <w:pPr>
        <w:pStyle w:val="Cabealho"/>
        <w:jc w:val="center"/>
      </w:pPr>
      <w:r>
        <w:t>Centro de Documentação e Informação</w:t>
      </w:r>
    </w:p>
    <w:p w:rsidR="002736EA" w:rsidRDefault="002736EA">
      <w:pPr>
        <w:pStyle w:val="Cabealho"/>
        <w:jc w:val="center"/>
      </w:pPr>
    </w:p>
    <w:p w:rsidR="002736EA" w:rsidRDefault="002736EA">
      <w:pPr>
        <w:pStyle w:val="Cabealho"/>
        <w:jc w:val="center"/>
      </w:pPr>
    </w:p>
    <w:p w:rsidR="002736EA" w:rsidRDefault="00011F82">
      <w:pPr>
        <w:pStyle w:val="Corpodetexto"/>
        <w:jc w:val="center"/>
        <w:rPr>
          <w:b/>
          <w:sz w:val="28"/>
        </w:rPr>
      </w:pPr>
      <w:r>
        <w:rPr>
          <w:b/>
          <w:sz w:val="28"/>
        </w:rPr>
        <w:t>PORTARIA Nº 166</w:t>
      </w:r>
      <w:r w:rsidR="002736EA">
        <w:rPr>
          <w:b/>
          <w:sz w:val="28"/>
        </w:rPr>
        <w:t xml:space="preserve">, DE </w:t>
      </w:r>
      <w:r>
        <w:rPr>
          <w:b/>
          <w:sz w:val="28"/>
        </w:rPr>
        <w:t>31</w:t>
      </w:r>
      <w:r w:rsidR="002736EA">
        <w:rPr>
          <w:b/>
          <w:sz w:val="28"/>
        </w:rPr>
        <w:t>/</w:t>
      </w:r>
      <w:r>
        <w:rPr>
          <w:b/>
          <w:sz w:val="28"/>
        </w:rPr>
        <w:t>12</w:t>
      </w:r>
      <w:r w:rsidR="002736EA">
        <w:rPr>
          <w:b/>
          <w:sz w:val="28"/>
        </w:rPr>
        <w:t>/200</w:t>
      </w:r>
      <w:r>
        <w:rPr>
          <w:b/>
          <w:sz w:val="28"/>
        </w:rPr>
        <w:t>7</w:t>
      </w:r>
    </w:p>
    <w:p w:rsidR="002736EA" w:rsidRDefault="002736EA">
      <w:pPr>
        <w:pStyle w:val="Corpodetexto"/>
        <w:jc w:val="both"/>
      </w:pPr>
    </w:p>
    <w:p w:rsidR="002736EA" w:rsidRDefault="002736EA">
      <w:pPr>
        <w:pStyle w:val="Corpodetexto"/>
        <w:jc w:val="both"/>
      </w:pPr>
    </w:p>
    <w:p w:rsidR="002736EA" w:rsidRDefault="00011F82">
      <w:pPr>
        <w:pStyle w:val="Corpodetexto"/>
        <w:ind w:left="4536"/>
        <w:jc w:val="both"/>
      </w:pPr>
      <w:r w:rsidRPr="00011F82">
        <w:t>Estabelece procedimentos para avaliação de desempenho e desenvolvimento funcional dos servidores efetivos da Câmara dos Deputados.</w:t>
      </w:r>
      <w:r w:rsidR="002736EA">
        <w:t xml:space="preserve"> </w:t>
      </w:r>
    </w:p>
    <w:p w:rsidR="002736EA" w:rsidRDefault="002736EA">
      <w:pPr>
        <w:pStyle w:val="Corpodetexto"/>
        <w:jc w:val="both"/>
      </w:pPr>
      <w:r>
        <w:t xml:space="preserve"> </w:t>
      </w:r>
    </w:p>
    <w:p w:rsidR="002736EA" w:rsidRDefault="002736EA">
      <w:pPr>
        <w:pStyle w:val="Corpodetexto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O DIRETOR-GERAL DA CÂMARA DOS DEPUTADOS, no uso das atribuições que lhe confere o art. </w:t>
      </w:r>
      <w:r w:rsidR="00011F82">
        <w:t>147, inciso XV, da Resolução 20</w:t>
      </w:r>
      <w:r>
        <w:t xml:space="preserve">, de 1971, 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RESOLVE: </w:t>
      </w:r>
    </w:p>
    <w:p w:rsidR="002736EA" w:rsidRDefault="002736EA">
      <w:pPr>
        <w:pStyle w:val="Corpodetexto"/>
        <w:ind w:firstLine="1134"/>
        <w:jc w:val="both"/>
      </w:pPr>
    </w:p>
    <w:p w:rsidR="00011F82" w:rsidRPr="00011F82" w:rsidRDefault="00011F82" w:rsidP="00011F82">
      <w:pPr>
        <w:pStyle w:val="Corpodetexto"/>
        <w:ind w:firstLine="1134"/>
        <w:jc w:val="center"/>
        <w:rPr>
          <w:b/>
        </w:rPr>
      </w:pPr>
      <w:r w:rsidRPr="00011F82">
        <w:rPr>
          <w:b/>
        </w:rPr>
        <w:t>Capítulo I</w:t>
      </w:r>
    </w:p>
    <w:p w:rsidR="00011F82" w:rsidRDefault="00011F82" w:rsidP="00011F82">
      <w:pPr>
        <w:pStyle w:val="Corpodetexto"/>
        <w:ind w:firstLine="1134"/>
        <w:jc w:val="center"/>
        <w:rPr>
          <w:b/>
        </w:rPr>
      </w:pPr>
      <w:r w:rsidRPr="00011F82">
        <w:rPr>
          <w:b/>
        </w:rPr>
        <w:t>Das Disposições Gerais</w:t>
      </w:r>
    </w:p>
    <w:p w:rsidR="00011F82" w:rsidRPr="00011F82" w:rsidRDefault="00011F82" w:rsidP="00011F82">
      <w:pPr>
        <w:pStyle w:val="Corpodetexto"/>
        <w:ind w:firstLine="1134"/>
        <w:jc w:val="center"/>
        <w:rPr>
          <w:b/>
        </w:rPr>
      </w:pPr>
    </w:p>
    <w:p w:rsidR="002736EA" w:rsidRDefault="002736EA">
      <w:pPr>
        <w:pStyle w:val="Corpodetexto"/>
        <w:ind w:firstLine="1134"/>
        <w:jc w:val="both"/>
      </w:pPr>
      <w:r>
        <w:t xml:space="preserve">Art. 1º </w:t>
      </w:r>
      <w:r w:rsidR="00011F82" w:rsidRPr="00011F82">
        <w:t>O desenvolvimento funcional do servidor da carreira legislativa da Câmara dos Deputados decorre do reconhecimento do mérito, pela Administração, no exercício do cargo efetivo ou no desempenho de funções comissionadas</w:t>
      </w:r>
      <w:r>
        <w:t xml:space="preserve">.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§ 1º O desenvolvimento funcional de que trata o caput far-se-á por progressão funcional. </w:t>
      </w:r>
    </w:p>
    <w:p w:rsidR="002736EA" w:rsidRDefault="00011F82" w:rsidP="00011F82">
      <w:pPr>
        <w:pStyle w:val="Corpodetexto"/>
        <w:ind w:firstLine="1134"/>
        <w:jc w:val="both"/>
      </w:pPr>
      <w:r>
        <w:t>§ 2º Progressão funcional é o avanço do servidor, a cada doze meses, contados da data do exercício, para o padrão de vencimento imediatamente superior, mediante avaliação do desempenho funcional.</w:t>
      </w:r>
    </w:p>
    <w:p w:rsidR="00011F82" w:rsidRDefault="00011F82" w:rsidP="00011F82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Art. 2º </w:t>
      </w:r>
      <w:r w:rsidR="00011F82" w:rsidRPr="00011F82">
        <w:t>O interstício para a progressão funcional será computado em períodos corridos, contados da data do exercício, considerando-se interrompido nos seguintes casos:</w:t>
      </w:r>
      <w:r>
        <w:t xml:space="preserve"> </w:t>
      </w:r>
    </w:p>
    <w:p w:rsidR="002736EA" w:rsidRDefault="002736EA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I - afastamento com perda de vencimento;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 - suspensão disciplinar ou preventiva;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III - afastamento em que o tempo de serviço seja contado apenas para aposentadoria, excetuada a licença para tratamento de saúde;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IV - prisão decorrente de decisão judicial.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§ 1º Entende-se como afastamento com perda de vencimento, para efeito de interrupção do interstício: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I - licença para tratar de interesses particulares;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 - licença para acompanhar cônjuge sem lotação provisória. </w:t>
      </w:r>
    </w:p>
    <w:p w:rsidR="00011F82" w:rsidRDefault="00011F82" w:rsidP="00011F82">
      <w:pPr>
        <w:pStyle w:val="Corpodetexto"/>
        <w:ind w:firstLine="1134"/>
        <w:jc w:val="both"/>
      </w:pPr>
      <w:r>
        <w:lastRenderedPageBreak/>
        <w:t xml:space="preserve">§ 2º Consideram-se períodos corridos, para os efeitos deste artigo, aqueles contados de data a data, sem qualquer dedução na respectiva contagem.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§ 3º Será restabelecida a contagem do interstício com os efeitos dela decorrentes, a partir da data em que se tenha verificado o afastamento do servidor na hipótese do inciso II deste artigo, quando, no primeiro caso, ficar apurada a improcedência da penalidade aplicada, com a </w:t>
      </w:r>
      <w:proofErr w:type="spellStart"/>
      <w:r>
        <w:t>conseqüente</w:t>
      </w:r>
      <w:proofErr w:type="spellEnd"/>
      <w:r>
        <w:t xml:space="preserve"> declaração de nulidade e, no segundo, a pena aplicada não for mais grave do que a advertência.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§ 4º O cômputo de cada interstício começará, nos casos de interrupção ocorrida nos termos do caput deste artigo, a partir de 1º de abril ou 1º de outubro </w:t>
      </w:r>
      <w:proofErr w:type="spellStart"/>
      <w:r>
        <w:t>subseqüente</w:t>
      </w:r>
      <w:proofErr w:type="spellEnd"/>
      <w:r>
        <w:t xml:space="preserve"> à reassunção, desprezado o período anterior.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3º No caso de reposicionamento, o novo interstício será contado a partir da data em que ocorrer a mudança de padrão.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Parágrafo único. Entende-se por reposicionamento qualquer alteração do padrão de vencimento não decorrente da aplicação desta norma. </w:t>
      </w:r>
    </w:p>
    <w:p w:rsidR="00011F82" w:rsidRDefault="00011F82" w:rsidP="00011F82">
      <w:pPr>
        <w:pStyle w:val="Corpodetexto"/>
        <w:ind w:firstLine="1134"/>
        <w:jc w:val="both"/>
      </w:pPr>
    </w:p>
    <w:p w:rsidR="002736EA" w:rsidRDefault="00011F82" w:rsidP="00011F82">
      <w:pPr>
        <w:pStyle w:val="Corpodetexto"/>
        <w:ind w:firstLine="1134"/>
        <w:jc w:val="both"/>
      </w:pPr>
      <w:r>
        <w:t>Art. 4º Compete ao Departamento de Pessoal a elaboração mensal da portaria de progressão funcional a ser submetida ao Diretor de Recursos Humanos, responsável pela concessão da progressão funcional.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Pr="00011F82" w:rsidRDefault="00011F82" w:rsidP="00011F82">
      <w:pPr>
        <w:pStyle w:val="Corpodetexto"/>
        <w:ind w:firstLine="1134"/>
        <w:jc w:val="center"/>
        <w:rPr>
          <w:b/>
        </w:rPr>
      </w:pPr>
      <w:r w:rsidRPr="00011F82">
        <w:rPr>
          <w:b/>
        </w:rPr>
        <w:t>Capítulo II</w:t>
      </w:r>
    </w:p>
    <w:p w:rsidR="00011F82" w:rsidRDefault="00011F82" w:rsidP="00011F82">
      <w:pPr>
        <w:pStyle w:val="Corpodetexto"/>
        <w:ind w:firstLine="1134"/>
        <w:jc w:val="center"/>
        <w:rPr>
          <w:b/>
        </w:rPr>
      </w:pPr>
      <w:r w:rsidRPr="00011F82">
        <w:rPr>
          <w:b/>
        </w:rPr>
        <w:t>Da Avaliação de Desempenho Funcional</w:t>
      </w:r>
    </w:p>
    <w:p w:rsidR="00011F82" w:rsidRPr="00011F82" w:rsidRDefault="00011F82" w:rsidP="00011F82">
      <w:pPr>
        <w:pStyle w:val="Corpodetexto"/>
        <w:ind w:firstLine="1134"/>
        <w:jc w:val="center"/>
        <w:rPr>
          <w:b/>
        </w:rPr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5º A avaliação de desempenho funcional, efetuada anualmente, constitui requisito básico para a concessão da progressão.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6º A avaliação de desempenho funcional representará o desempenho do servidor no período de doze meses imediatamente anteriores à data dos efeitos da progressão e basear-se-á na apreciação: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I - da atuação do servidor em relação ao grupo de trabalho;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 - do comportamento individual do servidor.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7º O desempenho funcional do servidor será avaliado nos seguintes aspectos, de acordo com a Resolução nº 39, de 1982: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I - Quantidade e qualidade do trabalho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 - Iniciativa e cooperação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III - Assiduidade e pontualidade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IV - Urbanidade e disciplina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§ 1º Para subsidiar a avaliação dos itens do parágrafo anterior será utilizada a ficha de avaliação constante do Anexo desta Portaria.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lastRenderedPageBreak/>
        <w:t xml:space="preserve">§ 2º O somatório dos pontos obtidos em cada um dos itens da ficha de avaliação citada no parágrafo anterior será arredondado automaticamente para a pontuação mais próxima constante da ficha de avaliação de que trata a Resolução nº 39 , de 1982.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8º O servidor será submetido a duas avaliações: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I - avaliação do superior hierárquico;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II - </w:t>
      </w:r>
      <w:proofErr w:type="spellStart"/>
      <w:r>
        <w:t>auto-avaliação</w:t>
      </w:r>
      <w:proofErr w:type="spellEnd"/>
      <w:r>
        <w:t xml:space="preserve">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Parágrafo único. A </w:t>
      </w:r>
      <w:proofErr w:type="spellStart"/>
      <w:r>
        <w:t>auto-avaliação</w:t>
      </w:r>
      <w:proofErr w:type="spellEnd"/>
      <w:r>
        <w:t xml:space="preserve"> será utilizada pelo superior hierárquico como subsídio para avaliação do servidor.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9º O servidor será avaliado pelo chefe a que esteve subordinado por mais tempo durante o interstício.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10. Ao servidor que à época da avaliação estiver afastado do serviço por mais da metade do período, desde que não ocorra interrupção prevista no art. 2º, será atribuída a nota da última avaliação.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§ 1º Não será concedida progressão funcional, na hipótese do caput , quando se tratar da primeira avaliação do servidor. </w:t>
      </w:r>
    </w:p>
    <w:p w:rsidR="00011F82" w:rsidRDefault="00011F82" w:rsidP="00011F82">
      <w:pPr>
        <w:pStyle w:val="Corpodetexto"/>
        <w:ind w:firstLine="1134"/>
        <w:jc w:val="both"/>
      </w:pPr>
      <w:r>
        <w:t xml:space="preserve">§ 2º Não será considerado como afastamento, para efeito do caput , o gozo de férias.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 xml:space="preserve">Art. 11. Será concedida progressão funcional ao servidor que obtiver no mínimo 50 pontos na avaliação do superior hierárquico. 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  <w:r>
        <w:t>Art. 12. A avaliação de desempenho funcional, quanto ao mérito, é irrecorrível.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Pr="00011F82" w:rsidRDefault="00011F82" w:rsidP="00011F82">
      <w:pPr>
        <w:pStyle w:val="Corpodetexto"/>
        <w:ind w:firstLine="1134"/>
        <w:jc w:val="center"/>
        <w:rPr>
          <w:b/>
        </w:rPr>
      </w:pPr>
      <w:r w:rsidRPr="00011F82">
        <w:rPr>
          <w:b/>
        </w:rPr>
        <w:t>Capítulo III</w:t>
      </w:r>
    </w:p>
    <w:p w:rsidR="00011F82" w:rsidRDefault="00011F82" w:rsidP="00011F82">
      <w:pPr>
        <w:pStyle w:val="Corpodetexto"/>
        <w:ind w:firstLine="1134"/>
        <w:jc w:val="center"/>
        <w:rPr>
          <w:b/>
        </w:rPr>
      </w:pPr>
      <w:r w:rsidRPr="00011F82">
        <w:rPr>
          <w:b/>
        </w:rPr>
        <w:t>Das Disposições Gerais</w:t>
      </w:r>
    </w:p>
    <w:p w:rsidR="00011F82" w:rsidRDefault="00011F82" w:rsidP="00011F82">
      <w:pPr>
        <w:pStyle w:val="Corpodetexto"/>
        <w:ind w:firstLine="1134"/>
        <w:jc w:val="center"/>
        <w:rPr>
          <w:b/>
        </w:rPr>
      </w:pPr>
    </w:p>
    <w:p w:rsidR="00011F82" w:rsidRDefault="00011F82" w:rsidP="00011F82">
      <w:pPr>
        <w:pStyle w:val="Corpodetexto"/>
        <w:ind w:firstLine="1134"/>
      </w:pPr>
      <w:r w:rsidRPr="00011F82">
        <w:t>Art. 13. A avaliação de desempenho funcional s</w:t>
      </w:r>
      <w:r>
        <w:t>erá feita por meio eletrônico.</w:t>
      </w:r>
    </w:p>
    <w:p w:rsidR="00011F82" w:rsidRPr="00011F82" w:rsidRDefault="00011F82" w:rsidP="00011F82">
      <w:pPr>
        <w:pStyle w:val="Corpodetexto"/>
        <w:ind w:firstLine="1134"/>
      </w:pPr>
      <w:r w:rsidRPr="00011F82">
        <w:t xml:space="preserve">Parágrafo único. Na impossibilidade de avaliação por meio eletrônico, serão encaminhadas fichas impressas. </w:t>
      </w:r>
    </w:p>
    <w:p w:rsidR="00011F82" w:rsidRPr="00011F82" w:rsidRDefault="00011F82" w:rsidP="00011F82">
      <w:pPr>
        <w:pStyle w:val="Corpodetexto"/>
        <w:ind w:firstLine="1134"/>
      </w:pPr>
    </w:p>
    <w:p w:rsidR="00011F82" w:rsidRPr="00011F82" w:rsidRDefault="00011F82" w:rsidP="00011F82">
      <w:pPr>
        <w:pStyle w:val="Corpodetexto"/>
        <w:ind w:firstLine="1134"/>
      </w:pPr>
      <w:r w:rsidRPr="00011F82">
        <w:t xml:space="preserve">Art. 14. Os servidores cedidos estarão sujeitos à avaliação nos termos desta norma e deverão ser avaliados pelos superiores hierárquicos nos órgãos cessionários. </w:t>
      </w:r>
    </w:p>
    <w:p w:rsidR="00011F82" w:rsidRPr="00011F82" w:rsidRDefault="00011F82" w:rsidP="00011F82">
      <w:pPr>
        <w:pStyle w:val="Corpodetexto"/>
        <w:ind w:firstLine="1134"/>
      </w:pPr>
    </w:p>
    <w:p w:rsidR="00011F82" w:rsidRPr="00011F82" w:rsidRDefault="00011F82" w:rsidP="00011F82">
      <w:pPr>
        <w:pStyle w:val="Corpodetexto"/>
        <w:ind w:firstLine="1134"/>
      </w:pPr>
      <w:r w:rsidRPr="00011F82">
        <w:t xml:space="preserve">Art. 15. Os Chefes de Gabinete dos membros da Mesa e de Lideranças serão avaliados pelos respectivos titulares. </w:t>
      </w:r>
    </w:p>
    <w:p w:rsidR="00011F82" w:rsidRPr="00011F82" w:rsidRDefault="00011F82" w:rsidP="00011F82">
      <w:pPr>
        <w:pStyle w:val="Corpodetexto"/>
        <w:ind w:firstLine="1134"/>
      </w:pPr>
    </w:p>
    <w:p w:rsidR="00011F82" w:rsidRPr="00011F82" w:rsidRDefault="00011F82" w:rsidP="00011F82">
      <w:pPr>
        <w:pStyle w:val="Corpodetexto"/>
        <w:ind w:firstLine="1134"/>
      </w:pPr>
      <w:r w:rsidRPr="00011F82">
        <w:t xml:space="preserve">Art. 16. Os servidores ocupantes do Cargo de Técnico Legislativo - Atribuição Adjunto Parlamentar lotados em gabinetes parlamentares serão avaliados pelo respectivo titular. </w:t>
      </w:r>
    </w:p>
    <w:p w:rsidR="00011F82" w:rsidRPr="00011F82" w:rsidRDefault="00011F82" w:rsidP="00011F82">
      <w:pPr>
        <w:pStyle w:val="Corpodetexto"/>
        <w:ind w:firstLine="1134"/>
      </w:pPr>
    </w:p>
    <w:p w:rsidR="00011F82" w:rsidRPr="00011F82" w:rsidRDefault="00011F82" w:rsidP="00011F82">
      <w:pPr>
        <w:pStyle w:val="Corpodetexto"/>
        <w:ind w:firstLine="1134"/>
      </w:pPr>
      <w:r w:rsidRPr="00011F82">
        <w:t xml:space="preserve">Art. 17. Os casos omissos serão resolvidos pelo Diretor de Recursos Humanos. </w:t>
      </w:r>
    </w:p>
    <w:p w:rsidR="00011F82" w:rsidRPr="00011F82" w:rsidRDefault="00011F82" w:rsidP="00011F82">
      <w:pPr>
        <w:pStyle w:val="Corpodetexto"/>
        <w:ind w:firstLine="1134"/>
      </w:pPr>
    </w:p>
    <w:p w:rsidR="00011F82" w:rsidRPr="00011F82" w:rsidRDefault="00011F82" w:rsidP="00011F82">
      <w:pPr>
        <w:pStyle w:val="Corpodetexto"/>
        <w:ind w:firstLine="1134"/>
      </w:pPr>
      <w:r w:rsidRPr="00011F82">
        <w:t>Art. 18. Esta Portaria entra em vigor na data de sua publicação.</w:t>
      </w:r>
    </w:p>
    <w:p w:rsidR="00011F82" w:rsidRDefault="00011F82" w:rsidP="00011F82">
      <w:pPr>
        <w:pStyle w:val="Corpodetexto"/>
        <w:ind w:firstLine="1134"/>
        <w:jc w:val="both"/>
      </w:pPr>
    </w:p>
    <w:p w:rsidR="00011F82" w:rsidRDefault="00011F82" w:rsidP="00011F82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Em </w:t>
      </w:r>
      <w:r w:rsidR="00011F82">
        <w:t>31/12</w:t>
      </w:r>
      <w:r>
        <w:t>/20</w:t>
      </w:r>
      <w:r w:rsidR="00011F82">
        <w:t>07</w:t>
      </w:r>
      <w:r>
        <w:t>.</w:t>
      </w:r>
    </w:p>
    <w:p w:rsidR="002736EA" w:rsidRDefault="002736EA">
      <w:pPr>
        <w:pStyle w:val="Corpodetexto"/>
        <w:ind w:firstLine="1134"/>
        <w:jc w:val="both"/>
      </w:pPr>
    </w:p>
    <w:p w:rsidR="002736EA" w:rsidRDefault="002736EA">
      <w:pPr>
        <w:pStyle w:val="Corpodetexto"/>
        <w:ind w:firstLine="1134"/>
        <w:jc w:val="both"/>
      </w:pPr>
      <w:r>
        <w:t xml:space="preserve">SÉRGIO SAMPAIO CONTREIRAS DE ALMEIDA, </w:t>
      </w:r>
    </w:p>
    <w:p w:rsidR="002736EA" w:rsidRDefault="002736EA">
      <w:pPr>
        <w:pStyle w:val="Corpodetexto"/>
        <w:ind w:firstLine="1134"/>
        <w:jc w:val="both"/>
      </w:pPr>
      <w:r>
        <w:t xml:space="preserve">Diretor-Geral. </w:t>
      </w:r>
    </w:p>
    <w:p w:rsidR="00ED1B7E" w:rsidRDefault="00ED1B7E">
      <w:pPr>
        <w:pStyle w:val="Corpodetexto"/>
        <w:ind w:firstLine="1134"/>
        <w:jc w:val="both"/>
      </w:pPr>
    </w:p>
    <w:p w:rsidR="00ED1B7E" w:rsidRDefault="00ED1B7E">
      <w:pPr>
        <w:pStyle w:val="Corpodetexto"/>
        <w:ind w:firstLine="1134"/>
        <w:jc w:val="both"/>
      </w:pPr>
    </w:p>
    <w:p w:rsidR="00ED1B7E" w:rsidRDefault="00ED1B7E" w:rsidP="00ED1B7E">
      <w:pPr>
        <w:pStyle w:val="Corpodetexto"/>
        <w:ind w:firstLine="1134"/>
        <w:jc w:val="center"/>
      </w:pPr>
      <w:r>
        <w:t>ANEXO</w:t>
      </w:r>
    </w:p>
    <w:p w:rsidR="00ED1B7E" w:rsidRDefault="00ED1B7E" w:rsidP="00ED1B7E">
      <w:pPr>
        <w:pStyle w:val="Corpodetexto"/>
        <w:ind w:firstLine="1134"/>
        <w:jc w:val="center"/>
        <w:rPr>
          <w:i/>
        </w:rPr>
      </w:pPr>
      <w:hyperlink r:id="rId6" w:history="1">
        <w:r w:rsidRPr="00ED1B7E">
          <w:rPr>
            <w:rStyle w:val="Hyperlink"/>
            <w:i/>
          </w:rPr>
          <w:t>(Anexo com redação dada pela Portaria nº 145, de 31/12/2008)</w:t>
        </w:r>
      </w:hyperlink>
    </w:p>
    <w:p w:rsidR="00ED1B7E" w:rsidRDefault="00ED1B7E" w:rsidP="00ED1B7E">
      <w:pPr>
        <w:pStyle w:val="Corpodetexto"/>
        <w:ind w:firstLine="1134"/>
        <w:jc w:val="center"/>
        <w:rPr>
          <w:i/>
        </w:rPr>
      </w:pPr>
    </w:p>
    <w:p w:rsidR="00ED1B7E" w:rsidRDefault="00ED1B7E" w:rsidP="00ED1B7E">
      <w:pPr>
        <w:pStyle w:val="Ttulo1"/>
        <w:jc w:val="center"/>
      </w:pPr>
      <w:r>
        <w:t>Ficha de Avaliação de Desempenho Funcional</w:t>
      </w:r>
    </w:p>
    <w:p w:rsidR="00ED1B7E" w:rsidRDefault="00ED1B7E" w:rsidP="00ED1B7E">
      <w:pPr>
        <w:jc w:val="center"/>
        <w:rPr>
          <w:snapToGrid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686"/>
        <w:gridCol w:w="567"/>
        <w:gridCol w:w="850"/>
        <w:gridCol w:w="1134"/>
        <w:gridCol w:w="1418"/>
        <w:gridCol w:w="992"/>
      </w:tblGrid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Nome do Servidor: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Ponto: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Cargo Efetivo: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Atribuição: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Lotação: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Período de Avaliação: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Padrão: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top w:val="double" w:sz="4" w:space="0" w:color="auto"/>
              <w:left w:val="nil"/>
              <w:right w:val="nil"/>
            </w:tcBorders>
          </w:tcPr>
          <w:p w:rsidR="00ED1B7E" w:rsidRDefault="00ED1B7E" w:rsidP="00812758">
            <w:r>
              <w:t xml:space="preserve">                             Utilize a seguinte escala para realizar a avaliação de desempenho</w:t>
            </w:r>
            <w:r>
              <w:br/>
              <w:t xml:space="preserve">                              1 - Insatisfatório</w:t>
            </w:r>
            <w:r>
              <w:br/>
              <w:t xml:space="preserve">                              2 - Abaixo do esperado</w:t>
            </w:r>
            <w:r>
              <w:br/>
              <w:t xml:space="preserve">                              3 - Atende ao esperado</w:t>
            </w:r>
          </w:p>
          <w:p w:rsidR="00ED1B7E" w:rsidRDefault="00ED1B7E" w:rsidP="00812758">
            <w:r>
              <w:t xml:space="preserve">                              4  - Supera o esperado</w:t>
            </w:r>
          </w:p>
          <w:p w:rsidR="00ED1B7E" w:rsidRDefault="00ED1B7E" w:rsidP="00812758">
            <w:r>
              <w:t xml:space="preserve">                              5 - Apresenta nível de excelência, sendo referência para outros servidores  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60" w:type="dxa"/>
            <w:gridSpan w:val="7"/>
            <w:tcBorders>
              <w:bottom w:val="nil"/>
            </w:tcBorders>
          </w:tcPr>
          <w:p w:rsidR="00ED1B7E" w:rsidRPr="00812758" w:rsidRDefault="00ED1B7E" w:rsidP="00812758">
            <w:pPr>
              <w:pStyle w:val="Ttulo2"/>
              <w:rPr>
                <w:b w:val="0"/>
                <w:sz w:val="22"/>
              </w:rPr>
            </w:pPr>
            <w:r w:rsidRPr="00812758">
              <w:rPr>
                <w:b w:val="0"/>
                <w:sz w:val="22"/>
              </w:rPr>
              <w:t>Avaliação de Desempenho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10560" w:type="dxa"/>
            <w:gridSpan w:val="7"/>
            <w:tcBorders>
              <w:left w:val="nil"/>
              <w:right w:val="nil"/>
            </w:tcBorders>
          </w:tcPr>
          <w:p w:rsidR="00ED1B7E" w:rsidRDefault="00ED1B7E" w:rsidP="00812758">
            <w:pPr>
              <w:jc w:val="center"/>
              <w:rPr>
                <w:snapToGrid w:val="0"/>
                <w:sz w:val="24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tcBorders>
              <w:bottom w:val="nil"/>
            </w:tcBorders>
          </w:tcPr>
          <w:p w:rsidR="00ED1B7E" w:rsidRDefault="00ED1B7E" w:rsidP="00812758">
            <w:pPr>
              <w:rPr>
                <w:sz w:val="22"/>
              </w:rPr>
            </w:pPr>
            <w:r>
              <w:rPr>
                <w:sz w:val="22"/>
              </w:rPr>
              <w:t>Critério</w:t>
            </w:r>
          </w:p>
        </w:tc>
        <w:tc>
          <w:tcPr>
            <w:tcW w:w="3686" w:type="dxa"/>
            <w:tcBorders>
              <w:bottom w:val="nil"/>
            </w:tcBorders>
          </w:tcPr>
          <w:p w:rsidR="00ED1B7E" w:rsidRDefault="00ED1B7E" w:rsidP="00812758">
            <w:pPr>
              <w:rPr>
                <w:b/>
                <w:sz w:val="22"/>
              </w:rPr>
            </w:pPr>
            <w:r>
              <w:rPr>
                <w:sz w:val="22"/>
              </w:rPr>
              <w:t>Itens</w:t>
            </w:r>
          </w:p>
        </w:tc>
        <w:tc>
          <w:tcPr>
            <w:tcW w:w="567" w:type="dxa"/>
            <w:tcBorders>
              <w:bottom w:val="nil"/>
            </w:tcBorders>
          </w:tcPr>
          <w:p w:rsidR="00ED1B7E" w:rsidRDefault="00ED1B7E" w:rsidP="00812758">
            <w:pPr>
              <w:rPr>
                <w:b/>
                <w:sz w:val="22"/>
              </w:rPr>
            </w:pPr>
            <w:r>
              <w:rPr>
                <w:sz w:val="22"/>
              </w:rPr>
              <w:t>Peso</w:t>
            </w:r>
          </w:p>
        </w:tc>
        <w:tc>
          <w:tcPr>
            <w:tcW w:w="850" w:type="dxa"/>
            <w:tcBorders>
              <w:bottom w:val="nil"/>
            </w:tcBorders>
          </w:tcPr>
          <w:p w:rsidR="00ED1B7E" w:rsidRDefault="00ED1B7E" w:rsidP="00812758">
            <w:pPr>
              <w:rPr>
                <w:b/>
                <w:sz w:val="22"/>
              </w:rPr>
            </w:pPr>
            <w:r>
              <w:rPr>
                <w:sz w:val="22"/>
              </w:rPr>
              <w:t>Nota</w:t>
            </w:r>
          </w:p>
        </w:tc>
        <w:tc>
          <w:tcPr>
            <w:tcW w:w="1134" w:type="dxa"/>
            <w:tcBorders>
              <w:bottom w:val="nil"/>
            </w:tcBorders>
          </w:tcPr>
          <w:p w:rsidR="00ED1B7E" w:rsidRDefault="00ED1B7E" w:rsidP="00812758">
            <w:pPr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Nota </w:t>
            </w:r>
            <w:r>
              <w:rPr>
                <w:snapToGrid w:val="0"/>
                <w:sz w:val="22"/>
              </w:rPr>
              <w:br/>
              <w:t>Ponderada</w:t>
            </w:r>
          </w:p>
        </w:tc>
        <w:tc>
          <w:tcPr>
            <w:tcW w:w="1418" w:type="dxa"/>
            <w:tcBorders>
              <w:bottom w:val="nil"/>
            </w:tcBorders>
          </w:tcPr>
          <w:p w:rsidR="00ED1B7E" w:rsidRDefault="00ED1B7E" w:rsidP="00812758">
            <w:pPr>
              <w:rPr>
                <w:sz w:val="22"/>
              </w:rPr>
            </w:pPr>
            <w:r>
              <w:rPr>
                <w:sz w:val="22"/>
              </w:rPr>
              <w:t>Total de</w:t>
            </w:r>
          </w:p>
          <w:p w:rsidR="00ED1B7E" w:rsidRDefault="00ED1B7E" w:rsidP="00812758">
            <w:pPr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pontos de</w:t>
            </w:r>
          </w:p>
          <w:p w:rsidR="00ED1B7E" w:rsidRDefault="00ED1B7E" w:rsidP="00812758">
            <w:pPr>
              <w:rPr>
                <w:b/>
                <w:sz w:val="22"/>
              </w:rPr>
            </w:pPr>
            <w:r>
              <w:rPr>
                <w:sz w:val="22"/>
              </w:rPr>
              <w:t>cada critério</w:t>
            </w:r>
          </w:p>
        </w:tc>
        <w:tc>
          <w:tcPr>
            <w:tcW w:w="992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Total de pontos</w:t>
            </w:r>
          </w:p>
          <w:p w:rsidR="00ED1B7E" w:rsidRDefault="00ED1B7E" w:rsidP="00812758">
            <w:pPr>
              <w:rPr>
                <w:b/>
                <w:sz w:val="22"/>
              </w:rPr>
            </w:pPr>
            <w:r>
              <w:rPr>
                <w:sz w:val="22"/>
              </w:rPr>
              <w:t>ajustado</w:t>
            </w: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10560" w:type="dxa"/>
            <w:gridSpan w:val="7"/>
            <w:tcBorders>
              <w:left w:val="nil"/>
              <w:right w:val="nil"/>
            </w:tcBorders>
          </w:tcPr>
          <w:p w:rsidR="00ED1B7E" w:rsidRDefault="00ED1B7E" w:rsidP="00812758">
            <w:pPr>
              <w:rPr>
                <w:snapToGrid w:val="0"/>
                <w:sz w:val="24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QUANTIDADE E QUALIDADE DO</w:t>
            </w:r>
          </w:p>
          <w:p w:rsidR="00ED1B7E" w:rsidRDefault="00ED1B7E" w:rsidP="00812758">
            <w:r>
              <w:t>TRABALHO</w:t>
            </w:r>
          </w:p>
        </w:tc>
        <w:tc>
          <w:tcPr>
            <w:tcW w:w="3686" w:type="dxa"/>
          </w:tcPr>
          <w:p w:rsidR="00ED1B7E" w:rsidRDefault="00ED1B7E" w:rsidP="00812758">
            <w:r>
              <w:rPr>
                <w:snapToGrid w:val="0"/>
              </w:rPr>
              <w:t xml:space="preserve">Desenvolve o trabalho em volume adequado, consideradas a capacidade individual, a </w:t>
            </w:r>
            <w:r>
              <w:t>complexidade das tarefas e a quantidade demandada.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Organiza suas atividades diárias para realizá-las no prazo estabelecido.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Realiza, com qualidade, as atividades que lhe são designadas.</w:t>
            </w:r>
          </w:p>
        </w:tc>
        <w:tc>
          <w:tcPr>
            <w:tcW w:w="567" w:type="dxa"/>
            <w:tcBorders>
              <w:bottom w:val="nil"/>
            </w:tcBorders>
          </w:tcPr>
          <w:p w:rsidR="00ED1B7E" w:rsidRDefault="00ED1B7E" w:rsidP="00812758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ED1B7E" w:rsidRDefault="00ED1B7E" w:rsidP="00812758"/>
        </w:tc>
        <w:tc>
          <w:tcPr>
            <w:tcW w:w="1134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10560" w:type="dxa"/>
            <w:gridSpan w:val="7"/>
            <w:tcBorders>
              <w:left w:val="nil"/>
              <w:right w:val="nil"/>
            </w:tcBorders>
          </w:tcPr>
          <w:p w:rsidR="00ED1B7E" w:rsidRDefault="00ED1B7E" w:rsidP="00812758">
            <w:pPr>
              <w:jc w:val="center"/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INICIATIVA E</w:t>
            </w:r>
          </w:p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COOPERAÇÃO</w:t>
            </w: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t xml:space="preserve">Identifica situações e age prontamente, antecipando-se </w:t>
            </w:r>
            <w:r>
              <w:rPr>
                <w:snapToGrid w:val="0"/>
              </w:rPr>
              <w:t>às demandas do trabalho.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Apresenta sugestões para o aperfeiçoamento do</w:t>
            </w:r>
            <w:r>
              <w:t xml:space="preserve"> </w:t>
            </w:r>
            <w:r>
              <w:rPr>
                <w:snapToGrid w:val="0"/>
              </w:rPr>
              <w:t>serviço.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Colabora com os colegas de trabalho, visando manter a coesão e a harmonia na equipe.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Busca novos conhecimentos que contribuam para o desenvolvimento dos trabalhos.</w:t>
            </w:r>
          </w:p>
        </w:tc>
        <w:tc>
          <w:tcPr>
            <w:tcW w:w="567" w:type="dxa"/>
            <w:tcBorders>
              <w:bottom w:val="nil"/>
            </w:tcBorders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ED1B7E" w:rsidRDefault="00ED1B7E" w:rsidP="00812758"/>
        </w:tc>
        <w:tc>
          <w:tcPr>
            <w:tcW w:w="1134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10560" w:type="dxa"/>
            <w:gridSpan w:val="7"/>
            <w:tcBorders>
              <w:left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ASSIDUIDADE E</w:t>
            </w:r>
          </w:p>
          <w:p w:rsidR="00ED1B7E" w:rsidRDefault="00ED1B7E" w:rsidP="00812758">
            <w:r>
              <w:t>PONTUALIDADE</w:t>
            </w: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Permanece regularmente no local de trabalho para execução de suas atribuições.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Cumpre o horário estabelecido.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Informa tempestivamente imprevistos que impeçam o seu comparecimento ou cumprimento do horário.</w:t>
            </w:r>
          </w:p>
        </w:tc>
        <w:tc>
          <w:tcPr>
            <w:tcW w:w="567" w:type="dxa"/>
            <w:tcBorders>
              <w:bottom w:val="nil"/>
            </w:tcBorders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ED1B7E" w:rsidRDefault="00ED1B7E" w:rsidP="00812758"/>
        </w:tc>
        <w:tc>
          <w:tcPr>
            <w:tcW w:w="1134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10560" w:type="dxa"/>
            <w:gridSpan w:val="7"/>
            <w:tcBorders>
              <w:left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URBANIDADE E</w:t>
            </w:r>
          </w:p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DISCIPLINA</w:t>
            </w: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Relaciona-se bem com os colegas de trabalho.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Trata com cortesia e respeito as pessoas que utilizam os serviços do setor.</w:t>
            </w:r>
          </w:p>
        </w:tc>
        <w:tc>
          <w:tcPr>
            <w:tcW w:w="567" w:type="dxa"/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D1B7E" w:rsidRDefault="00ED1B7E" w:rsidP="00812758"/>
        </w:tc>
        <w:tc>
          <w:tcPr>
            <w:tcW w:w="1134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  <w:r>
              <w:rPr>
                <w:snapToGrid w:val="0"/>
              </w:rPr>
              <w:t>Age de acordo com as normas legais e regulamentares.</w:t>
            </w:r>
          </w:p>
        </w:tc>
        <w:tc>
          <w:tcPr>
            <w:tcW w:w="567" w:type="dxa"/>
            <w:tcBorders>
              <w:bottom w:val="nil"/>
            </w:tcBorders>
          </w:tcPr>
          <w:p w:rsidR="00ED1B7E" w:rsidRDefault="00ED1B7E" w:rsidP="0081275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ED1B7E" w:rsidRDefault="00ED1B7E" w:rsidP="00812758"/>
        </w:tc>
        <w:tc>
          <w:tcPr>
            <w:tcW w:w="1134" w:type="dxa"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10560" w:type="dxa"/>
            <w:gridSpan w:val="7"/>
            <w:tcBorders>
              <w:left w:val="nil"/>
              <w:right w:val="nil"/>
            </w:tcBorders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  <w:tr w:rsidR="00ED1B7E" w:rsidTr="00ED1B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68" w:type="dxa"/>
            <w:gridSpan w:val="6"/>
          </w:tcPr>
          <w:p w:rsidR="00ED1B7E" w:rsidRDefault="00ED1B7E" w:rsidP="00812758">
            <w:pPr>
              <w:rPr>
                <w:snapToGrid w:val="0"/>
              </w:rPr>
            </w:pPr>
            <w:r>
              <w:t>Total da avaliação</w:t>
            </w:r>
          </w:p>
        </w:tc>
        <w:tc>
          <w:tcPr>
            <w:tcW w:w="992" w:type="dxa"/>
          </w:tcPr>
          <w:p w:rsidR="00ED1B7E" w:rsidRDefault="00ED1B7E" w:rsidP="00812758">
            <w:pPr>
              <w:rPr>
                <w:snapToGrid w:val="0"/>
              </w:rPr>
            </w:pPr>
          </w:p>
        </w:tc>
      </w:tr>
    </w:tbl>
    <w:p w:rsidR="00ED1B7E" w:rsidRDefault="00ED1B7E" w:rsidP="00ED1B7E"/>
    <w:p w:rsidR="00ED1B7E" w:rsidRPr="00ED1B7E" w:rsidRDefault="00ED1B7E" w:rsidP="00ED1B7E">
      <w:pPr>
        <w:pStyle w:val="Corpodetexto"/>
        <w:ind w:firstLine="1134"/>
        <w:jc w:val="center"/>
      </w:pPr>
    </w:p>
    <w:sectPr w:rsidR="00ED1B7E" w:rsidRPr="00ED1B7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E98"/>
    <w:rsid w:val="00011F82"/>
    <w:rsid w:val="002736EA"/>
    <w:rsid w:val="00812758"/>
    <w:rsid w:val="00B80E98"/>
    <w:rsid w:val="00D4056B"/>
    <w:rsid w:val="00ED1B7E"/>
    <w:rsid w:val="00F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241B89-FD69-46B3-947C-A2EC6217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1B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semiHidden/>
    <w:rsid w:val="00ED1B7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int/portar/2008/portaria-145-31-dezembro-2008-585586-norma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7814</CharactersWithSpaces>
  <SharedDoc>false</SharedDoc>
  <HLinks>
    <vt:vector size="6" baseType="variant">
      <vt:variant>
        <vt:i4>2359349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https://www2.camara.leg.br/legin/int/portar/2008/portaria-145-31-dezembro-2008-585586-norma-cd-dg.html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