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ED" w:rsidRDefault="00D62DED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894" r:id="rId5"/>
        </w:object>
      </w:r>
    </w:p>
    <w:p w:rsidR="00D62DED" w:rsidRDefault="00D62DED">
      <w:pPr>
        <w:pStyle w:val="Cabealho"/>
        <w:jc w:val="center"/>
      </w:pPr>
    </w:p>
    <w:p w:rsidR="00D62DED" w:rsidRDefault="00D62DED">
      <w:pPr>
        <w:pStyle w:val="Cabealho"/>
        <w:jc w:val="center"/>
      </w:pPr>
    </w:p>
    <w:p w:rsidR="00D62DED" w:rsidRDefault="00D62DED">
      <w:pPr>
        <w:pStyle w:val="Cabealho"/>
        <w:jc w:val="center"/>
      </w:pPr>
    </w:p>
    <w:p w:rsidR="00D62DED" w:rsidRDefault="00D62DED">
      <w:pPr>
        <w:pStyle w:val="Cabealho"/>
        <w:jc w:val="center"/>
      </w:pPr>
    </w:p>
    <w:p w:rsidR="00D62DED" w:rsidRDefault="00D62DED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D62DED" w:rsidRDefault="00D62DED">
      <w:pPr>
        <w:pStyle w:val="Cabealho"/>
        <w:jc w:val="center"/>
      </w:pPr>
      <w:r>
        <w:t>Centro de Documentação e Informação</w:t>
      </w:r>
    </w:p>
    <w:p w:rsidR="00D62DED" w:rsidRDefault="00D62DED">
      <w:pPr>
        <w:jc w:val="center"/>
      </w:pPr>
    </w:p>
    <w:p w:rsidR="00E05831" w:rsidRDefault="00E05831">
      <w:pPr>
        <w:jc w:val="center"/>
      </w:pPr>
    </w:p>
    <w:p w:rsidR="00D62DED" w:rsidRDefault="00D62DED">
      <w:pPr>
        <w:pStyle w:val="Ttulo"/>
      </w:pPr>
      <w:r>
        <w:t xml:space="preserve">PORTARIA Nº 103, DE </w:t>
      </w:r>
      <w:r w:rsidR="007A6BEC">
        <w:t>22/06/</w:t>
      </w:r>
      <w:r>
        <w:t>2005</w:t>
      </w:r>
    </w:p>
    <w:p w:rsidR="00D62DED" w:rsidRDefault="00D62DED"/>
    <w:p w:rsidR="00D62DED" w:rsidRDefault="00D62DED"/>
    <w:p w:rsidR="00D62DED" w:rsidRDefault="00D62DED">
      <w:pPr>
        <w:pStyle w:val="Recuodecorpodetexto"/>
        <w:rPr>
          <w:sz w:val="24"/>
        </w:rPr>
      </w:pPr>
      <w:r>
        <w:rPr>
          <w:sz w:val="24"/>
        </w:rPr>
        <w:t xml:space="preserve">Dispõe sobre a instrução dos processos administrativos de aquisição de bens e contratação de serviços, promovidos com base nos arts. 20 e 21 do Regulamento dos Procedimentos Licitatórios da Câmara dos Deputados, aprovado pelo Ato da Mesa nº 80, de 7 de junho de 2001. </w:t>
      </w:r>
    </w:p>
    <w:p w:rsidR="00D62DED" w:rsidRDefault="00D62DED"/>
    <w:p w:rsidR="00D62DED" w:rsidRDefault="00D62DED"/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O DIRETOR-GERAL DA CÂMARA DOS DEPUTADOS, no uso das atribuições que lhe confere o inciso XV do art. 147 da Resolução nº 20, de 1971, c/c o parágrafo único do art. 22 do Regulamento dos Procedimentos Licitatórios da Câmara dos Deputados, aprovado pelo Ato da Mesa nº 80, de 2001, </w:t>
      </w:r>
    </w:p>
    <w:p w:rsidR="00D62DED" w:rsidRDefault="00D62DED">
      <w:pPr>
        <w:ind w:firstLine="1134"/>
        <w:jc w:val="both"/>
        <w:rPr>
          <w:sz w:val="24"/>
        </w:rPr>
      </w:pP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D62DED" w:rsidRDefault="00D62DED">
      <w:pPr>
        <w:ind w:firstLine="1134"/>
        <w:jc w:val="both"/>
        <w:rPr>
          <w:sz w:val="24"/>
        </w:rPr>
      </w:pP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Art. 1º Os processos administrativos de aquisição de bens e a contratação de serviços com base nos arts. 20 e 21 do Regulamento dos Procedimentos Licitatórios da Câmara dos Deputados, além de serem autuados com a documentação ordinária aplicável, prevista no art. 28 do Regulamento, serão instruídos pelos órgãos solicitantes conforme o disposto nesta Portaria. </w:t>
      </w:r>
    </w:p>
    <w:p w:rsidR="00D62DED" w:rsidRDefault="00D62DED">
      <w:pPr>
        <w:ind w:firstLine="1134"/>
        <w:jc w:val="both"/>
        <w:rPr>
          <w:sz w:val="24"/>
        </w:rPr>
      </w:pPr>
    </w:p>
    <w:p w:rsidR="00AC4C8B" w:rsidRPr="00AC4C8B" w:rsidRDefault="00AC4C8B" w:rsidP="00AC4C8B">
      <w:pPr>
        <w:ind w:firstLine="1134"/>
        <w:jc w:val="both"/>
        <w:rPr>
          <w:i/>
          <w:sz w:val="24"/>
        </w:rPr>
      </w:pPr>
      <w:r w:rsidRPr="00AC4C8B">
        <w:rPr>
          <w:sz w:val="24"/>
        </w:rPr>
        <w:t xml:space="preserve">Art. 2º Da instrução do processo constarão obrigatoriamente: </w:t>
      </w:r>
      <w:hyperlink r:id="rId6" w:history="1">
        <w:r w:rsidRPr="00AC4C8B">
          <w:rPr>
            <w:rStyle w:val="Hyperlink"/>
            <w:i/>
            <w:sz w:val="24"/>
          </w:rPr>
          <w:t>(“Caput” do artigo com redação dada pela Portaria nº 152, de 26/06/2019)</w:t>
        </w:r>
      </w:hyperlink>
    </w:p>
    <w:p w:rsidR="00AC4C8B" w:rsidRP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 xml:space="preserve">I - justificativa da necessidade da aquisição ou contratação e dos quantitativos dos bens ou da abrangência dos serviços, bem como a indicação dos órgãos destinatários ou beneficiários; </w:t>
      </w:r>
      <w:hyperlink r:id="rId7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</w:t>
        </w:r>
        <w:r w:rsidRPr="00AC4C8B">
          <w:rPr>
            <w:rStyle w:val="Hyperlink"/>
            <w:i/>
            <w:sz w:val="24"/>
          </w:rPr>
          <w:t>o com redação dada pela Portaria nº 152, de 26/06/2019)</w:t>
        </w:r>
      </w:hyperlink>
    </w:p>
    <w:p w:rsidR="00AC4C8B" w:rsidRP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 xml:space="preserve">II - fundamentação, nos termos das disposições do art. 4º; </w:t>
      </w:r>
      <w:hyperlink r:id="rId8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</w:t>
        </w:r>
        <w:r w:rsidRPr="00AC4C8B">
          <w:rPr>
            <w:rStyle w:val="Hyperlink"/>
            <w:i/>
            <w:sz w:val="24"/>
          </w:rPr>
          <w:t>o com redação dada pela Portaria nº 152, de 26/06/2019)</w:t>
        </w:r>
      </w:hyperlink>
    </w:p>
    <w:p w:rsidR="00AC4C8B" w:rsidRP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 xml:space="preserve">III - razões da escolha do objeto da aquisição ou contratação em detrimento das demais possibilidades eventualmente existentes no mercado; </w:t>
      </w:r>
      <w:hyperlink r:id="rId9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</w:t>
        </w:r>
        <w:r w:rsidRPr="00AC4C8B">
          <w:rPr>
            <w:rStyle w:val="Hyperlink"/>
            <w:i/>
            <w:sz w:val="24"/>
          </w:rPr>
          <w:t>o com redação dada pela Portaria nº 152, de 26/06/2019)</w:t>
        </w:r>
      </w:hyperlink>
    </w:p>
    <w:p w:rsidR="00AC4C8B" w:rsidRP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>IV - justificativa do preço, observado o disposto no art. 5º desta Portaria.</w:t>
      </w:r>
      <w:r>
        <w:rPr>
          <w:sz w:val="24"/>
        </w:rPr>
        <w:t xml:space="preserve"> </w:t>
      </w:r>
      <w:hyperlink r:id="rId10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</w:t>
        </w:r>
        <w:r w:rsidRPr="00AC4C8B">
          <w:rPr>
            <w:rStyle w:val="Hyperlink"/>
            <w:i/>
            <w:sz w:val="24"/>
          </w:rPr>
          <w:t>o com redação dada pela Portaria nº 152, de 26/06/2019)</w:t>
        </w:r>
      </w:hyperlink>
    </w:p>
    <w:p w:rsidR="00AC4C8B" w:rsidRP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>§ 1</w:t>
      </w:r>
      <w:r>
        <w:rPr>
          <w:sz w:val="24"/>
        </w:rPr>
        <w:t>º</w:t>
      </w:r>
      <w:r w:rsidRPr="00AC4C8B">
        <w:rPr>
          <w:sz w:val="24"/>
        </w:rPr>
        <w:t xml:space="preserve"> Havendo outros processos em tramitação relacionados à aquisição ou contratação de mesma natureza, deverão ser expressamente mencionados da instrução </w:t>
      </w:r>
      <w:r w:rsidRPr="00AC4C8B">
        <w:rPr>
          <w:sz w:val="24"/>
        </w:rPr>
        <w:lastRenderedPageBreak/>
        <w:t>processual.</w:t>
      </w:r>
      <w:r>
        <w:rPr>
          <w:sz w:val="24"/>
        </w:rPr>
        <w:t xml:space="preserve"> </w:t>
      </w:r>
      <w:hyperlink r:id="rId11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único transformado em § 1º,</w:t>
        </w:r>
        <w:r w:rsidRPr="00AC4C8B">
          <w:rPr>
            <w:rStyle w:val="Hyperlink"/>
            <w:i/>
            <w:sz w:val="24"/>
          </w:rPr>
          <w:t xml:space="preserve"> com redação dada pela Portaria nº 152, de 26/06/2019)</w:t>
        </w:r>
      </w:hyperlink>
    </w:p>
    <w:p w:rsidR="00AC4C8B" w:rsidRP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>§ 2</w:t>
      </w:r>
      <w:r>
        <w:rPr>
          <w:sz w:val="24"/>
        </w:rPr>
        <w:t>º</w:t>
      </w:r>
      <w:r w:rsidRPr="00AC4C8B">
        <w:rPr>
          <w:sz w:val="24"/>
        </w:rPr>
        <w:t xml:space="preserve"> Serão considerados bens e serviços de mesma natureza aqueles pertencentes a mesma "classe", nos termos do catálogo da </w:t>
      </w:r>
      <w:r w:rsidRPr="00AC4C8B">
        <w:rPr>
          <w:i/>
          <w:sz w:val="24"/>
        </w:rPr>
        <w:t>United Nations Standard Products and Services Code</w:t>
      </w:r>
      <w:r w:rsidRPr="00AC4C8B">
        <w:rPr>
          <w:sz w:val="24"/>
        </w:rPr>
        <w:t xml:space="preserve">, elaborado pela Organização das Nações Unidas. </w:t>
      </w:r>
      <w:hyperlink r:id="rId12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acrescido</w:t>
        </w:r>
        <w:r w:rsidRPr="00AC4C8B">
          <w:rPr>
            <w:rStyle w:val="Hyperlink"/>
            <w:i/>
            <w:sz w:val="24"/>
          </w:rPr>
          <w:t xml:space="preserve"> pela Portaria nº 152, de 26/06/2019)</w:t>
        </w:r>
      </w:hyperlink>
    </w:p>
    <w:p w:rsidR="00AC4C8B" w:rsidRDefault="00AC4C8B" w:rsidP="00AC4C8B">
      <w:pPr>
        <w:ind w:firstLine="1134"/>
        <w:jc w:val="both"/>
        <w:rPr>
          <w:sz w:val="24"/>
        </w:rPr>
      </w:pPr>
      <w:r w:rsidRPr="00AC4C8B">
        <w:rPr>
          <w:sz w:val="24"/>
        </w:rPr>
        <w:t>§ 3</w:t>
      </w:r>
      <w:r>
        <w:rPr>
          <w:sz w:val="24"/>
        </w:rPr>
        <w:t>º</w:t>
      </w:r>
      <w:r w:rsidRPr="00AC4C8B">
        <w:rPr>
          <w:sz w:val="24"/>
        </w:rPr>
        <w:t xml:space="preserve"> Compete ao Departamento de Material e Patrimônio verificar o cumprimento do disposto nos §§ 1</w:t>
      </w:r>
      <w:r w:rsidR="00CA31D3">
        <w:rPr>
          <w:sz w:val="24"/>
        </w:rPr>
        <w:t>º</w:t>
      </w:r>
      <w:r w:rsidRPr="00AC4C8B">
        <w:rPr>
          <w:sz w:val="24"/>
        </w:rPr>
        <w:t xml:space="preserve"> e 2</w:t>
      </w:r>
      <w:r w:rsidR="00CA31D3">
        <w:rPr>
          <w:sz w:val="24"/>
        </w:rPr>
        <w:t>º</w:t>
      </w:r>
      <w:r w:rsidRPr="00AC4C8B">
        <w:rPr>
          <w:sz w:val="24"/>
        </w:rPr>
        <w:t xml:space="preserve"> deste artigo, de modo a evitar o fracionamento de despesa e facilitar o agrupamento de itens, otimizando os ganhos em economia de escala.</w:t>
      </w:r>
      <w:r>
        <w:rPr>
          <w:sz w:val="24"/>
        </w:rPr>
        <w:t xml:space="preserve"> </w:t>
      </w:r>
      <w:hyperlink r:id="rId13" w:history="1">
        <w:r w:rsidRPr="00AC4C8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acrescido</w:t>
        </w:r>
        <w:r w:rsidRPr="00AC4C8B">
          <w:rPr>
            <w:rStyle w:val="Hyperlink"/>
            <w:i/>
            <w:sz w:val="24"/>
          </w:rPr>
          <w:t xml:space="preserve"> pela Portaria nº 152, de 26/06/2019)</w:t>
        </w:r>
      </w:hyperlink>
    </w:p>
    <w:p w:rsidR="00AC4C8B" w:rsidRDefault="00AC4C8B">
      <w:pPr>
        <w:ind w:firstLine="1134"/>
        <w:jc w:val="both"/>
        <w:rPr>
          <w:sz w:val="24"/>
        </w:rPr>
      </w:pP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Art. 3º Com relação às razões da escolha do objeto, a instrução do órgão solicitante explicitará, obrigatoriamente: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 - as características técnicas, de desempenho e outras que definem o objeto pretendido e a importância desses aspectos para a finalidade a que será destinado;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 - as vantagens a serem auferidas pela Câmara dos Deputados com a aquisição do bem pretendido ou a contratação do serviço. </w:t>
      </w:r>
    </w:p>
    <w:p w:rsidR="00D62DED" w:rsidRDefault="00D62DED">
      <w:pPr>
        <w:ind w:firstLine="1134"/>
        <w:jc w:val="both"/>
        <w:rPr>
          <w:sz w:val="24"/>
        </w:rPr>
      </w:pP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Art. 4º A fundamentação da contratação contemplará, no mínimo: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 - no caso de contratação por inviabilidade de competição (art. 21, caput, do Regulamento), as razões que caracterizam a impossibilidade de competição;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 - no caso de aquisição de materiais, equipamentos ou gêneros que só possam ser fornecidos por produtor, empresa ou representante comercial exclusivo (art. 21, inciso I, do Regulamento), a comprovação da exclusividade do fornecedor;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III - no caso de serviço técnico de natureza singular, a ser realizado por profissional de notória especialização (art. 21, inciso II, do Regulamento), a caracterização da singularidade do serviço, a comprovação da notória especialização do profissional e os motivos da sua escolha;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IV - no caso de contratação de profissional de qualquer setor artístico (art. 21, inciso III, do Regulamento), a demonstração de sua comprovada consagração pela crítica especializada ou opinião pública;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V - no caso de contratação para atender situação emergencial (art. 20, inciso IV, do Regulamento), a demonstração dos prejuízos ou riscos para o interesse público decorrentes da demora da contratação por processo licitatório e da imprevisibilidade dessa situação;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VI - no caso de licitação anterior deserta ou frustrada (art. 20, inciso V, do Regulamento), a comprovação do procedimento licitatório anterior mal sucedido ou da ausência de interessados em participar de licitação realizada, a demonstração da impossibilidade ou inconveniência da repetição desse procedimento, em face de risco ou prejuízo para o interesse público, e a comprovação de que estão mantidas, no contrato a ser firmado, as mesmas condições ofertadas para o procedimento licitatório;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VII - no caso de contratação com órgão da administração pública (art. 20, inciso VII do Regulamento), a comprovação de que o órgão foi criado antes da Lei nº 8.666/93 para o fim específico do objeto da contratação;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VIII - no caso de contratação de remanescente de obra ou serviço (art. 20, inciso IX, do Regulamento), a comprovação da rescisão do contrato anterior, da obediência </w:t>
      </w:r>
      <w:r>
        <w:rPr>
          <w:sz w:val="24"/>
        </w:rPr>
        <w:lastRenderedPageBreak/>
        <w:t xml:space="preserve">à ordem de classificação obtida com o processo licitatório e da manutenção, no contrato a ser firmado, das mesmas condições oferecidas pela licitante vencedora;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IX - no caso de contratação de instituição brasileira de pesquisa, ensino ou desenvolvimento institucional ou voltada para a recuperação social do preso (art. 20, inciso XI, do Regulamento), a comprovação de que o objeto do contrato encontra-se previsto no regimento ou estatuto da instituição, da reputação ético-profissional e da finalidade não lucrativa da contratada;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X - no caso de restauração de obras de arte e bens de valor histórico de propriedade da Câmara dos Deputados (art. 21, inciso II, alínea g, do Regulamento), a comprovação de que o serviço destina-se a sua conservação ou a impedir a sua deterioração;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XI - no caso de aquisição de componentes ou peças necessários à manutenção de equipamentos, durante o período de garantia, junto ao fornecedor original do equipamento (art. 20, inciso XIV, do Regulamento), a comprovação de que essa aquisição é indispensável à vigência da garantia;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XII - no caso de contratação de associação de portadores de deficiência, (art. 20, inciso XV do Regulamento), a comprovação da finalidade não lucrativa e da idoneidade da contratada. </w:t>
      </w:r>
    </w:p>
    <w:p w:rsidR="00D62DED" w:rsidRDefault="00D62DED">
      <w:pPr>
        <w:pStyle w:val="Recuodecorpodetexto2"/>
      </w:pPr>
      <w:r>
        <w:t xml:space="preserve">§ 1º Compete ao órgão solicitante fundamentar a instrução nas contratações previstas nos incisos de I a V, IX e X e ao Departamento de Material de Patrimônio nas demais.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§ 2º Com relação à documentação comprobatória da exclusividade do fornecedor, prevista no inciso II, o Departamento de Material e Patrimônio verificará: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 - a procedência das informações, junto à entidade emissora da declaração de exclusividade;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 - se a entidade emissora possui as condições materiais e jurídicas para atestar a exclusividade;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III - se a declaração está firmada e reconhecida em cartório. </w:t>
      </w:r>
    </w:p>
    <w:p w:rsidR="00D62DED" w:rsidRDefault="00D62DED">
      <w:pPr>
        <w:ind w:firstLine="1134"/>
        <w:jc w:val="both"/>
        <w:rPr>
          <w:sz w:val="24"/>
        </w:rPr>
      </w:pP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Art. 5º A justificativa de preço deverá comprovar a conformidade dos preços da contratação com os praticados no mercado.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 instrução será promovida pelo Departamento de Material e Patrimônio, com o concurso do órgão solicitante, anexando-se ao processo: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 - a tabela de preços praticados pelo fornecedor; ou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 - a demonstração de que o preço praticado é condizente com o produto, à vista de outros similares; ou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III - a demonstração, por meio de documentos fiscais, do preço praticado pelo fornecimento do objeto pretendido a outros órgãos públicos, em condições similares de aquisição. </w:t>
      </w:r>
    </w:p>
    <w:p w:rsidR="00D62DED" w:rsidRDefault="00D62DED">
      <w:pPr>
        <w:ind w:firstLine="1134"/>
        <w:jc w:val="both"/>
        <w:rPr>
          <w:sz w:val="24"/>
        </w:rPr>
      </w:pPr>
    </w:p>
    <w:p w:rsidR="00D62DED" w:rsidRDefault="00D62DED">
      <w:pPr>
        <w:pStyle w:val="Recuodecorpodetexto3"/>
        <w:jc w:val="both"/>
        <w:rPr>
          <w:rStyle w:val="Hyperlink"/>
          <w:i/>
        </w:rPr>
      </w:pPr>
      <w:r>
        <w:t xml:space="preserve">Art. 6º Nos processos administrativos de aquisição de bens ou contratação de serviços por inexigibilidade ou dispensa de licitação, a aceitação de propostas recebidas por meios que impossibilitem comprovação de autenticidade e integridade fica condicionada à posterior anexação dos respectivos documentos originais ou cópias autenticadas, em momento que deverá preceder os atos autorizativos. </w:t>
      </w:r>
      <w:r>
        <w:rPr>
          <w:i/>
        </w:rPr>
        <w:fldChar w:fldCharType="begin"/>
      </w:r>
      <w:r w:rsidR="00155BF0">
        <w:rPr>
          <w:i/>
        </w:rPr>
        <w:instrText>HYPERLINK "http://www2.camara.leg.br/legin/int/portar/2007/portaria-32-13-abril-2007-553237-norma-cd-dg.html"</w:instrText>
      </w:r>
      <w:r w:rsidR="00155BF0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(Artigo acrescido pela Portaria nº 32, de 13/04/2007)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Art. 7º Compete à Diretoria Administrativa e à Assessoria Técnica da Diretoria-Geral fiscalizarem o cumprimento desta Portaria, antes de dar continuidade à tramitação dos processos. </w:t>
      </w:r>
    </w:p>
    <w:p w:rsidR="00D62DED" w:rsidRDefault="00D62DED">
      <w:pPr>
        <w:pStyle w:val="Recuodecorpodetexto3"/>
        <w:jc w:val="both"/>
        <w:rPr>
          <w:rStyle w:val="Hyperlink"/>
          <w:i/>
        </w:rPr>
      </w:pPr>
      <w:r>
        <w:t xml:space="preserve">Parágrafo único. O processo cuja instrução não atenda ao disposto nesta Portaria será encaminhado ao órgão solicitante ou ao Departamento de Material e Patrimônio para complementação das informações necessárias. </w:t>
      </w:r>
      <w:r>
        <w:rPr>
          <w:i/>
        </w:rPr>
        <w:fldChar w:fldCharType="begin"/>
      </w:r>
      <w:r w:rsidR="00155BF0">
        <w:rPr>
          <w:i/>
        </w:rPr>
        <w:instrText>HYPERLINK "http://www2.camara.leg.br/legin/int/portar/2007/portaria-32-13-abril-2007-553237-norma-cd-dg.html"</w:instrText>
      </w:r>
      <w:r w:rsidR="00155BF0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(Primitivo art. 6º renumerado pela Portaria nº 32, de 13/04/2007)</w:t>
      </w:r>
    </w:p>
    <w:p w:rsidR="00D62DED" w:rsidRDefault="00D62DED">
      <w:pPr>
        <w:pStyle w:val="Recuodecorpodetexto2"/>
      </w:pPr>
      <w:r>
        <w:rPr>
          <w:i/>
        </w:rPr>
        <w:fldChar w:fldCharType="end"/>
      </w:r>
    </w:p>
    <w:p w:rsidR="00D62DED" w:rsidRDefault="00D62DED">
      <w:pPr>
        <w:pStyle w:val="Recuodecorpodetexto3"/>
        <w:jc w:val="both"/>
        <w:rPr>
          <w:rStyle w:val="Hyperlink"/>
          <w:i/>
        </w:rPr>
      </w:pPr>
      <w:r>
        <w:t xml:space="preserve">Art. 8º Esta Portaria entra em vigor na data de sua publicação. </w:t>
      </w:r>
      <w:bookmarkStart w:id="1" w:name="_Hlt164679884"/>
      <w:r>
        <w:rPr>
          <w:i/>
        </w:rPr>
        <w:fldChar w:fldCharType="begin"/>
      </w:r>
      <w:r w:rsidR="00155BF0">
        <w:rPr>
          <w:i/>
        </w:rPr>
        <w:instrText>HYPERLINK "http://www2.camara.leg.br/legin/int/portar/2007/portaria-32-13-abril-2007-553237-norma-cd-dg.html"</w:instrText>
      </w:r>
      <w:r w:rsidR="00155BF0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(Primitivo art. 7º renumerado pela Portaria nº 32, de 13/04/2007)</w:t>
      </w:r>
    </w:p>
    <w:p w:rsidR="00D62DED" w:rsidRDefault="00D62DED">
      <w:pPr>
        <w:pStyle w:val="Recuodecorpodetexto3"/>
        <w:jc w:val="both"/>
      </w:pPr>
      <w:r>
        <w:rPr>
          <w:i/>
        </w:rPr>
        <w:fldChar w:fldCharType="end"/>
      </w:r>
      <w:bookmarkEnd w:id="1"/>
    </w:p>
    <w:p w:rsidR="00D62DED" w:rsidRDefault="00D62DED">
      <w:pPr>
        <w:pStyle w:val="Recuodecorpodetexto3"/>
        <w:jc w:val="both"/>
        <w:rPr>
          <w:rStyle w:val="Hyperlink"/>
          <w:i/>
        </w:rPr>
      </w:pPr>
      <w:r>
        <w:t xml:space="preserve">Art. 9º Revoga-se a Portaria-DG nº 61, de 2005. </w:t>
      </w:r>
      <w:r>
        <w:rPr>
          <w:i/>
        </w:rPr>
        <w:fldChar w:fldCharType="begin"/>
      </w:r>
      <w:r w:rsidR="00155BF0">
        <w:rPr>
          <w:i/>
        </w:rPr>
        <w:instrText>HYPERLINK "http://www2.camara.leg.br/legin/int/portar/2007/portaria-32-13-abril-2007-553237-norma-cd-dg.html"</w:instrText>
      </w:r>
      <w:r w:rsidR="00155BF0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(Primitivo art. 8º renumerado pela Portaria nº 32, de 13/04/2007)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Em 22 de junho de 2005. </w:t>
      </w:r>
    </w:p>
    <w:p w:rsidR="00D62DED" w:rsidRDefault="00D62DED">
      <w:pPr>
        <w:ind w:firstLine="1134"/>
        <w:jc w:val="both"/>
        <w:rPr>
          <w:sz w:val="24"/>
        </w:rPr>
      </w:pP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 xml:space="preserve">SÉRGIO SAMPAIO CONTREIRAS DE ALMEIDA, </w:t>
      </w:r>
    </w:p>
    <w:p w:rsidR="00D62DED" w:rsidRDefault="00D62DED">
      <w:pPr>
        <w:ind w:firstLine="1134"/>
        <w:jc w:val="both"/>
        <w:rPr>
          <w:sz w:val="24"/>
        </w:rPr>
      </w:pPr>
      <w:r>
        <w:rPr>
          <w:sz w:val="24"/>
        </w:rPr>
        <w:t>Diretor-Geral.</w:t>
      </w:r>
    </w:p>
    <w:sectPr w:rsidR="00D62DED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BF0"/>
    <w:rsid w:val="00155BF0"/>
    <w:rsid w:val="00360518"/>
    <w:rsid w:val="007A6BEC"/>
    <w:rsid w:val="008C6B66"/>
    <w:rsid w:val="00953571"/>
    <w:rsid w:val="00AC0041"/>
    <w:rsid w:val="00AC4C8B"/>
    <w:rsid w:val="00CA13CB"/>
    <w:rsid w:val="00CA31D3"/>
    <w:rsid w:val="00D62DED"/>
    <w:rsid w:val="00E05831"/>
    <w:rsid w:val="00F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4BB48D-13AC-4A96-A51C-D419BEE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ntepargpadro0">
    <w:name w:val="Default Paragraph Fon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19/portaria-152-26-junho-2019-788889-publicacaooriginal-158815-cd-dg.html" TargetMode="External"/><Relationship Id="rId13" Type="http://schemas.openxmlformats.org/officeDocument/2006/relationships/hyperlink" Target="https://www2.camara.leg.br/legin/int/portar/2019/portaria-152-26-junho-2019-788889-publicacaooriginal-158815-cd-d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2.camara.leg.br/legin/int/portar/2019/portaria-152-26-junho-2019-788889-publicacaooriginal-158815-cd-dg.html" TargetMode="External"/><Relationship Id="rId12" Type="http://schemas.openxmlformats.org/officeDocument/2006/relationships/hyperlink" Target="https://www2.camara.leg.br/legin/int/portar/2019/portaria-152-26-junho-2019-788889-publicacaooriginal-158815-cd-d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int/portar/2019/portaria-152-26-junho-2019-788889-publicacaooriginal-158815-cd-dg.html" TargetMode="External"/><Relationship Id="rId11" Type="http://schemas.openxmlformats.org/officeDocument/2006/relationships/hyperlink" Target="https://www2.camara.leg.br/legin/int/portar/2019/portaria-152-26-junho-2019-788889-publicacaooriginal-158815-cd-dg.html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https://www2.camara.leg.br/legin/int/portar/2019/portaria-152-26-junho-2019-788889-publicacaooriginal-158815-cd-dg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2.camara.leg.br/legin/int/portar/2019/portaria-152-26-junho-2019-788889-publicacaooriginal-158815-cd-dg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103, DE 2005</vt:lpstr>
    </vt:vector>
  </TitlesOfParts>
  <Company>CÂMARA DOS DEPUTADOS</Company>
  <LinksUpToDate>false</LinksUpToDate>
  <CharactersWithSpaces>10409</CharactersWithSpaces>
  <SharedDoc>false</SharedDoc>
  <HLinks>
    <vt:vector size="72" baseType="variant">
      <vt:variant>
        <vt:i4>1048657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http://www2.camara.leg.br/legin/int/portar/2007/portaria-32-13-abril-2007-553237-norma-cd-dg.html</vt:lpwstr>
      </vt:variant>
      <vt:variant>
        <vt:lpwstr/>
      </vt:variant>
      <vt:variant>
        <vt:i4>1048657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http://www2.camara.leg.br/legin/int/portar/2007/portaria-32-13-abril-2007-553237-norma-cd-dg.html</vt:lpwstr>
      </vt:variant>
      <vt:variant>
        <vt:lpwstr/>
      </vt:variant>
      <vt:variant>
        <vt:i4>1048657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http://www2.camara.leg.br/legin/int/portar/2007/portaria-32-13-abril-2007-553237-norma-cd-dg.html</vt:lpwstr>
      </vt:variant>
      <vt:variant>
        <vt:lpwstr/>
      </vt:variant>
      <vt:variant>
        <vt:i4>1048657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http://www2.camara.leg.br/legin/int/portar/2007/portaria-32-13-abril-2007-553237-norma-cd-dg.html</vt:lpwstr>
      </vt:variant>
      <vt:variant>
        <vt:lpwstr/>
      </vt:variant>
      <vt:variant>
        <vt:i4>3866743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  <vt:variant>
        <vt:i4>3866743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https://www2.camara.leg.br/legin/int/portar/2019/portaria-152-26-junho-2019-788889-publicacaooriginal-158815-cd-dg.html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103, DE 2005</dc:title>
  <dc:subject/>
  <dc:creator>p_6140</dc:creator>
  <cp:keywords/>
  <dc:description/>
  <cp:lastModifiedBy>Autor</cp:lastModifiedBy>
  <cp:revision>2</cp:revision>
  <cp:lastPrinted>2113-01-01T03:00:00Z</cp:lastPrinted>
  <dcterms:created xsi:type="dcterms:W3CDTF">2025-11-20T17:42:00Z</dcterms:created>
  <dcterms:modified xsi:type="dcterms:W3CDTF">2025-11-20T17:42:00Z</dcterms:modified>
</cp:coreProperties>
</file>