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1E0" w:rsidRDefault="00AC01E0">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4924" r:id="rId6"/>
        </w:object>
      </w:r>
    </w:p>
    <w:p w:rsidR="00AC01E0" w:rsidRDefault="00AC01E0">
      <w:pPr>
        <w:pStyle w:val="Cabealho"/>
        <w:jc w:val="center"/>
      </w:pPr>
    </w:p>
    <w:p w:rsidR="00AC01E0" w:rsidRDefault="00AC01E0">
      <w:pPr>
        <w:pStyle w:val="Cabealho"/>
        <w:jc w:val="center"/>
      </w:pPr>
    </w:p>
    <w:p w:rsidR="00AC01E0" w:rsidRDefault="00AC01E0">
      <w:pPr>
        <w:pStyle w:val="Cabealho"/>
        <w:jc w:val="center"/>
      </w:pPr>
    </w:p>
    <w:p w:rsidR="00AC01E0" w:rsidRDefault="00AC01E0">
      <w:pPr>
        <w:pStyle w:val="Cabealho"/>
        <w:jc w:val="center"/>
      </w:pPr>
    </w:p>
    <w:p w:rsidR="00AC01E0" w:rsidRDefault="00AC01E0">
      <w:pPr>
        <w:pStyle w:val="Cabealho"/>
        <w:jc w:val="center"/>
        <w:rPr>
          <w:b/>
        </w:rPr>
      </w:pPr>
      <w:r>
        <w:rPr>
          <w:b/>
        </w:rPr>
        <w:t>CÂMARA DOS DEPUTADOS</w:t>
      </w:r>
    </w:p>
    <w:p w:rsidR="00AC01E0" w:rsidRDefault="00AC01E0">
      <w:pPr>
        <w:pStyle w:val="Cabealho"/>
        <w:jc w:val="center"/>
      </w:pPr>
      <w:r>
        <w:t>Centro de Documentação e Informação</w:t>
      </w:r>
    </w:p>
    <w:p w:rsidR="00AC01E0" w:rsidRDefault="00AC01E0">
      <w:pPr>
        <w:pStyle w:val="Cabealho"/>
        <w:jc w:val="center"/>
      </w:pPr>
    </w:p>
    <w:p w:rsidR="00AC01E0" w:rsidRDefault="00AC01E0">
      <w:pPr>
        <w:pStyle w:val="Cabealho"/>
        <w:jc w:val="center"/>
        <w:rPr>
          <w:b/>
          <w:sz w:val="28"/>
        </w:rPr>
      </w:pPr>
      <w:r>
        <w:rPr>
          <w:b/>
          <w:sz w:val="28"/>
        </w:rPr>
        <w:t>PORTARIA Nº 123, DE 2004</w:t>
      </w:r>
    </w:p>
    <w:p w:rsidR="00AC01E0" w:rsidRPr="00151E21" w:rsidRDefault="00151E21" w:rsidP="00151E21">
      <w:pPr>
        <w:pStyle w:val="Cabealho"/>
        <w:jc w:val="center"/>
        <w:rPr>
          <w:i/>
          <w:sz w:val="24"/>
          <w:szCs w:val="24"/>
        </w:rPr>
      </w:pPr>
      <w:hyperlink r:id="rId7" w:history="1">
        <w:r w:rsidRPr="00151E21">
          <w:rPr>
            <w:rStyle w:val="Hyperlink"/>
            <w:i/>
            <w:sz w:val="24"/>
            <w:szCs w:val="24"/>
          </w:rPr>
          <w:t>(Revogada pela Portaria nº 291, de 21/12/2021)</w:t>
        </w:r>
      </w:hyperlink>
    </w:p>
    <w:p w:rsidR="00AC01E0" w:rsidRDefault="00AC01E0">
      <w:pPr>
        <w:pStyle w:val="Cabealho"/>
        <w:jc w:val="both"/>
      </w:pPr>
    </w:p>
    <w:p w:rsidR="00AC01E0" w:rsidRDefault="00AC01E0">
      <w:pPr>
        <w:pStyle w:val="Cabealho"/>
        <w:ind w:left="4536"/>
        <w:jc w:val="both"/>
        <w:rPr>
          <w:sz w:val="24"/>
        </w:rPr>
      </w:pPr>
      <w:r>
        <w:rPr>
          <w:sz w:val="24"/>
        </w:rPr>
        <w:t xml:space="preserve">Dispõe sobre a criação do Comitê Gestor do Sítio da Câmara dos Deputados, nos ambientes Internet, Intranet e Extranet. </w:t>
      </w:r>
    </w:p>
    <w:p w:rsidR="00AC01E0" w:rsidRDefault="00AC01E0">
      <w:pPr>
        <w:pStyle w:val="Cabealho"/>
        <w:jc w:val="both"/>
      </w:pPr>
    </w:p>
    <w:p w:rsidR="00AC01E0" w:rsidRDefault="00AC01E0">
      <w:pPr>
        <w:pStyle w:val="Cabealho"/>
        <w:jc w:val="both"/>
      </w:pPr>
    </w:p>
    <w:p w:rsidR="00AC01E0" w:rsidRDefault="00AC01E0">
      <w:pPr>
        <w:pStyle w:val="Cabealho"/>
        <w:ind w:firstLine="1134"/>
        <w:jc w:val="both"/>
        <w:rPr>
          <w:sz w:val="24"/>
        </w:rPr>
      </w:pPr>
      <w:r>
        <w:rPr>
          <w:b/>
          <w:sz w:val="24"/>
        </w:rPr>
        <w:t>O DIRETOR-GERAL DA CÂMARA DOS DEPUTADOS</w:t>
      </w:r>
      <w:r>
        <w:rPr>
          <w:sz w:val="24"/>
        </w:rPr>
        <w:t xml:space="preserve">, no uso das atribuições que lhe confere o art. 147, item XV, da Resolução nº 20, de 30 de novembro de 1971, </w:t>
      </w:r>
    </w:p>
    <w:p w:rsidR="00AC01E0" w:rsidRDefault="00AC01E0">
      <w:pPr>
        <w:pStyle w:val="Cabealho"/>
        <w:ind w:firstLine="1134"/>
        <w:jc w:val="both"/>
        <w:rPr>
          <w:sz w:val="24"/>
        </w:rPr>
      </w:pPr>
    </w:p>
    <w:p w:rsidR="00AC01E0" w:rsidRDefault="00AC01E0">
      <w:pPr>
        <w:pStyle w:val="Cabealho"/>
        <w:ind w:firstLine="1134"/>
        <w:jc w:val="both"/>
        <w:rPr>
          <w:sz w:val="24"/>
        </w:rPr>
      </w:pPr>
      <w:r>
        <w:rPr>
          <w:sz w:val="24"/>
        </w:rPr>
        <w:t xml:space="preserve">RESOLVE: </w:t>
      </w:r>
    </w:p>
    <w:p w:rsidR="00AC01E0" w:rsidRDefault="00AC01E0">
      <w:pPr>
        <w:pStyle w:val="Cabealho"/>
        <w:ind w:firstLine="1134"/>
        <w:jc w:val="both"/>
        <w:rPr>
          <w:sz w:val="24"/>
        </w:rPr>
      </w:pPr>
    </w:p>
    <w:p w:rsidR="00AC01E0" w:rsidRDefault="00AC01E0">
      <w:pPr>
        <w:pStyle w:val="Cabealho"/>
        <w:ind w:firstLine="1134"/>
        <w:jc w:val="both"/>
        <w:rPr>
          <w:sz w:val="24"/>
        </w:rPr>
      </w:pPr>
      <w:r>
        <w:rPr>
          <w:sz w:val="24"/>
        </w:rPr>
        <w:t xml:space="preserve">Art. 1º Criar o Comitê Gestor do Sítio da Câmara dos Deputados, sob a supervisão do Diretor-Geral, destinado a promover e gerenciar as ações que dizem respeito à estrutura de serviços e informações, à apresentação e à forma do sítio da Câmara dos Deputados, nos ambientes Internet, Intranet e Extranet. </w:t>
      </w:r>
      <w:hyperlink r:id="rId8" w:history="1">
        <w:r>
          <w:rPr>
            <w:rStyle w:val="Hyperlink"/>
            <w:i/>
            <w:sz w:val="24"/>
          </w:rPr>
          <w:t>(Vide Portaria nº 128, de 9/10/2007)</w:t>
        </w:r>
      </w:hyperlink>
    </w:p>
    <w:p w:rsidR="00AC01E0" w:rsidRDefault="00AC01E0">
      <w:pPr>
        <w:pStyle w:val="Cabealho"/>
        <w:ind w:firstLine="1134"/>
        <w:jc w:val="both"/>
        <w:rPr>
          <w:sz w:val="24"/>
        </w:rPr>
      </w:pPr>
    </w:p>
    <w:p w:rsidR="00AC01E0" w:rsidRDefault="00AC01E0">
      <w:pPr>
        <w:pStyle w:val="Cabealho"/>
        <w:ind w:firstLine="1134"/>
        <w:jc w:val="both"/>
        <w:rPr>
          <w:sz w:val="24"/>
        </w:rPr>
      </w:pPr>
      <w:r>
        <w:rPr>
          <w:sz w:val="24"/>
        </w:rPr>
        <w:t xml:space="preserve">Art. 2º Ao Comitê compete, entre outras, as seguintes atribuições: </w:t>
      </w:r>
    </w:p>
    <w:p w:rsidR="00AC01E0" w:rsidRDefault="00AC01E0">
      <w:pPr>
        <w:pStyle w:val="Cabealho"/>
        <w:ind w:firstLine="1134"/>
        <w:jc w:val="both"/>
        <w:rPr>
          <w:sz w:val="24"/>
        </w:rPr>
      </w:pPr>
      <w:r>
        <w:rPr>
          <w:sz w:val="24"/>
        </w:rPr>
        <w:t xml:space="preserve">I - definir a relevância dos conteúdos a serem disponibilizados no sítio; </w:t>
      </w:r>
    </w:p>
    <w:p w:rsidR="00AC01E0" w:rsidRDefault="00AC01E0">
      <w:pPr>
        <w:pStyle w:val="Cabealho"/>
        <w:ind w:firstLine="1134"/>
        <w:jc w:val="both"/>
        <w:rPr>
          <w:sz w:val="24"/>
        </w:rPr>
      </w:pPr>
      <w:r>
        <w:rPr>
          <w:sz w:val="24"/>
        </w:rPr>
        <w:t xml:space="preserve">II - elaborar a arquitetura de informações do sítio; </w:t>
      </w:r>
    </w:p>
    <w:p w:rsidR="00AC01E0" w:rsidRDefault="00AC01E0">
      <w:pPr>
        <w:pStyle w:val="Cabealho"/>
        <w:ind w:firstLine="1134"/>
        <w:jc w:val="both"/>
        <w:rPr>
          <w:sz w:val="24"/>
        </w:rPr>
      </w:pPr>
      <w:r>
        <w:rPr>
          <w:sz w:val="24"/>
        </w:rPr>
        <w:t xml:space="preserve">III - planejar metas que evitem o crescimento desordenado do portal e o transformem em um conjunto de informações não-funcionais; </w:t>
      </w:r>
    </w:p>
    <w:p w:rsidR="00AC01E0" w:rsidRDefault="00AC01E0">
      <w:pPr>
        <w:pStyle w:val="Cabealho"/>
        <w:ind w:firstLine="1134"/>
        <w:jc w:val="both"/>
        <w:rPr>
          <w:sz w:val="24"/>
        </w:rPr>
      </w:pPr>
      <w:r>
        <w:rPr>
          <w:sz w:val="24"/>
        </w:rPr>
        <w:t xml:space="preserve">IV - planejar e demandar ações relativas a adequações no design das páginas do sítio; </w:t>
      </w:r>
    </w:p>
    <w:p w:rsidR="00AC01E0" w:rsidRDefault="00AC01E0">
      <w:pPr>
        <w:pStyle w:val="Cabealho"/>
        <w:ind w:firstLine="1134"/>
        <w:jc w:val="both"/>
        <w:rPr>
          <w:sz w:val="24"/>
        </w:rPr>
      </w:pPr>
      <w:r>
        <w:rPr>
          <w:sz w:val="24"/>
        </w:rPr>
        <w:t xml:space="preserve">V - planejar a organização do sítio da Câmara, no que diz respeito às diversas ações que devem ser consideradas para a sua melhor execução, que compreendem o controle editorial das informações publicadas no sítio, a sua validade e confiabilidade; </w:t>
      </w:r>
    </w:p>
    <w:p w:rsidR="00AC01E0" w:rsidRDefault="00AC01E0">
      <w:pPr>
        <w:pStyle w:val="Cabealho"/>
        <w:ind w:firstLine="1134"/>
        <w:jc w:val="both"/>
        <w:rPr>
          <w:sz w:val="24"/>
        </w:rPr>
      </w:pPr>
      <w:r>
        <w:rPr>
          <w:sz w:val="24"/>
        </w:rPr>
        <w:t xml:space="preserve">VI - avaliar a relevância da utilização de enquetes e de outros mecanismos de interação com o usuário nas diversas áreas do sítio; </w:t>
      </w:r>
    </w:p>
    <w:p w:rsidR="00AC01E0" w:rsidRDefault="00AC01E0">
      <w:pPr>
        <w:pStyle w:val="Cabealho"/>
        <w:ind w:firstLine="1134"/>
        <w:jc w:val="both"/>
        <w:rPr>
          <w:sz w:val="24"/>
        </w:rPr>
      </w:pPr>
      <w:r>
        <w:rPr>
          <w:sz w:val="24"/>
        </w:rPr>
        <w:t xml:space="preserve">VII - conciliar as demandas das diferentes áreas; </w:t>
      </w:r>
    </w:p>
    <w:p w:rsidR="00AC01E0" w:rsidRDefault="00AC01E0">
      <w:pPr>
        <w:pStyle w:val="Cabealho"/>
        <w:ind w:firstLine="1134"/>
        <w:jc w:val="both"/>
        <w:rPr>
          <w:sz w:val="24"/>
        </w:rPr>
      </w:pPr>
      <w:r>
        <w:rPr>
          <w:sz w:val="24"/>
        </w:rPr>
        <w:t xml:space="preserve">VIII - identificar a sobreposição de iniciativas comuns; </w:t>
      </w:r>
    </w:p>
    <w:p w:rsidR="00AC01E0" w:rsidRDefault="00AC01E0">
      <w:pPr>
        <w:pStyle w:val="Cabealho"/>
        <w:ind w:firstLine="1134"/>
        <w:jc w:val="both"/>
        <w:rPr>
          <w:sz w:val="24"/>
        </w:rPr>
      </w:pPr>
      <w:r>
        <w:rPr>
          <w:sz w:val="24"/>
        </w:rPr>
        <w:t xml:space="preserve">IX - avaliar os conteúdos, informações e serviços disponibilizados no sítio, com o propósito de garantir a harmonia, a qualidade, a atualidade e a acessibilidade do sítio; </w:t>
      </w:r>
    </w:p>
    <w:p w:rsidR="00AC01E0" w:rsidRDefault="00AC01E0">
      <w:pPr>
        <w:pStyle w:val="Cabealho"/>
        <w:ind w:firstLine="1134"/>
        <w:jc w:val="both"/>
        <w:rPr>
          <w:sz w:val="24"/>
        </w:rPr>
      </w:pPr>
      <w:r>
        <w:rPr>
          <w:sz w:val="24"/>
        </w:rPr>
        <w:t xml:space="preserve">X - disseminar critérios e regras para inserção de conteúdos; </w:t>
      </w:r>
    </w:p>
    <w:p w:rsidR="00AC01E0" w:rsidRDefault="00AC01E0">
      <w:pPr>
        <w:pStyle w:val="Cabealho"/>
        <w:ind w:firstLine="1134"/>
        <w:jc w:val="both"/>
        <w:rPr>
          <w:sz w:val="24"/>
        </w:rPr>
      </w:pPr>
      <w:r>
        <w:rPr>
          <w:sz w:val="24"/>
        </w:rPr>
        <w:t xml:space="preserve">XI - responsabilizar provedores de conteúdo por eventuais deficiências relativas às questões de publicação; </w:t>
      </w:r>
    </w:p>
    <w:p w:rsidR="00AC01E0" w:rsidRDefault="00AC01E0">
      <w:pPr>
        <w:pStyle w:val="Cabealho"/>
        <w:ind w:firstLine="1134"/>
        <w:jc w:val="both"/>
        <w:rPr>
          <w:sz w:val="24"/>
        </w:rPr>
      </w:pPr>
      <w:r>
        <w:rPr>
          <w:sz w:val="24"/>
        </w:rPr>
        <w:t xml:space="preserve">XII - fomentar ações no sentido de promover a integração das bases existentes; </w:t>
      </w:r>
    </w:p>
    <w:p w:rsidR="00AC01E0" w:rsidRDefault="00AC01E0">
      <w:pPr>
        <w:pStyle w:val="Cabealho"/>
        <w:ind w:firstLine="1134"/>
        <w:jc w:val="both"/>
        <w:rPr>
          <w:sz w:val="24"/>
        </w:rPr>
      </w:pPr>
      <w:r>
        <w:rPr>
          <w:sz w:val="24"/>
        </w:rPr>
        <w:t xml:space="preserve">XIII - promover a articulação entre órgãos na cadeia de informações; </w:t>
      </w:r>
    </w:p>
    <w:p w:rsidR="00AC01E0" w:rsidRDefault="00AC01E0">
      <w:pPr>
        <w:pStyle w:val="Cabealho"/>
        <w:ind w:firstLine="1134"/>
        <w:jc w:val="both"/>
        <w:rPr>
          <w:sz w:val="24"/>
        </w:rPr>
      </w:pPr>
      <w:r>
        <w:rPr>
          <w:sz w:val="24"/>
        </w:rPr>
        <w:t xml:space="preserve">XIV - ratificar a intenção da Casa quanto às políticas públicas de acessibilidade e de inclusão digital. </w:t>
      </w:r>
    </w:p>
    <w:p w:rsidR="00AC01E0" w:rsidRDefault="00AC01E0">
      <w:pPr>
        <w:pStyle w:val="Cabealho"/>
        <w:ind w:firstLine="1134"/>
        <w:jc w:val="both"/>
        <w:rPr>
          <w:sz w:val="24"/>
        </w:rPr>
      </w:pPr>
    </w:p>
    <w:p w:rsidR="00AC01E0" w:rsidRDefault="00AC01E0">
      <w:pPr>
        <w:pStyle w:val="Cabealho"/>
        <w:ind w:firstLine="1134"/>
        <w:jc w:val="both"/>
        <w:rPr>
          <w:sz w:val="24"/>
        </w:rPr>
      </w:pPr>
      <w:r>
        <w:rPr>
          <w:sz w:val="24"/>
        </w:rPr>
        <w:t xml:space="preserve">Art. 3º O Comitê contará com o apoio de uma Secretaria para dar suporte às suas atividades. </w:t>
      </w:r>
    </w:p>
    <w:p w:rsidR="00AC01E0" w:rsidRDefault="00AC01E0">
      <w:pPr>
        <w:pStyle w:val="Cabealho"/>
        <w:ind w:firstLine="1134"/>
        <w:jc w:val="both"/>
        <w:rPr>
          <w:sz w:val="24"/>
        </w:rPr>
      </w:pPr>
    </w:p>
    <w:p w:rsidR="00AC01E0" w:rsidRDefault="00AC01E0">
      <w:pPr>
        <w:pStyle w:val="Cabealho"/>
        <w:ind w:firstLine="1134"/>
        <w:jc w:val="both"/>
        <w:rPr>
          <w:sz w:val="24"/>
        </w:rPr>
      </w:pPr>
      <w:r>
        <w:rPr>
          <w:sz w:val="24"/>
        </w:rPr>
        <w:t xml:space="preserve">Art. 4º Compete à Secretaria: </w:t>
      </w:r>
    </w:p>
    <w:p w:rsidR="00AC01E0" w:rsidRDefault="00AC01E0">
      <w:pPr>
        <w:pStyle w:val="Cabealho"/>
        <w:ind w:firstLine="1134"/>
        <w:jc w:val="both"/>
        <w:rPr>
          <w:sz w:val="24"/>
        </w:rPr>
      </w:pPr>
      <w:r>
        <w:rPr>
          <w:sz w:val="24"/>
        </w:rPr>
        <w:t xml:space="preserve">I - Zelar pela qualidade, acessibilidade, usabilidade, navegabilidade e atualização dos links do Portal, por meio de verificação periódica das páginas do Portal; </w:t>
      </w:r>
    </w:p>
    <w:p w:rsidR="00AC01E0" w:rsidRDefault="00AC01E0">
      <w:pPr>
        <w:pStyle w:val="Cabealho"/>
        <w:ind w:firstLine="1134"/>
        <w:jc w:val="both"/>
        <w:rPr>
          <w:sz w:val="24"/>
        </w:rPr>
      </w:pPr>
      <w:r>
        <w:rPr>
          <w:sz w:val="24"/>
        </w:rPr>
        <w:t xml:space="preserve">II - centralizar as demandas sobre a inserção de novos conteúdos no Portal; </w:t>
      </w:r>
    </w:p>
    <w:p w:rsidR="00AC01E0" w:rsidRDefault="00AC01E0">
      <w:pPr>
        <w:pStyle w:val="Cabealho"/>
        <w:ind w:firstLine="1134"/>
        <w:jc w:val="both"/>
        <w:rPr>
          <w:sz w:val="24"/>
        </w:rPr>
      </w:pPr>
      <w:r>
        <w:rPr>
          <w:sz w:val="24"/>
        </w:rPr>
        <w:t xml:space="preserve">III - verificar se as informações e serviços disponibilizados no Portal estão de acordo com as normas do Relatório do Salto Qualitativo do Portal da Câmara dos Deputados, proposto pelo Grupo de Trabalho, constituído pela Portaria nº 35 , de 2004, da Diretoria-Geral; </w:t>
      </w:r>
    </w:p>
    <w:p w:rsidR="00AC01E0" w:rsidRDefault="00AC01E0">
      <w:pPr>
        <w:pStyle w:val="Cabealho"/>
        <w:ind w:firstLine="1134"/>
        <w:jc w:val="both"/>
        <w:rPr>
          <w:sz w:val="24"/>
        </w:rPr>
      </w:pPr>
      <w:r>
        <w:rPr>
          <w:sz w:val="24"/>
        </w:rPr>
        <w:t xml:space="preserve">IV - encaminhar aos membros do Comitê e monitorar as diversas demandas decorrentes da gestão e da avaliação do Portal, segundo a área de atuação de cada membro; </w:t>
      </w:r>
    </w:p>
    <w:p w:rsidR="00AC01E0" w:rsidRDefault="00AC01E0">
      <w:pPr>
        <w:pStyle w:val="Cabealho"/>
        <w:ind w:firstLine="1134"/>
        <w:jc w:val="both"/>
        <w:rPr>
          <w:sz w:val="24"/>
        </w:rPr>
      </w:pPr>
      <w:r>
        <w:rPr>
          <w:sz w:val="24"/>
        </w:rPr>
        <w:t xml:space="preserve">V - convocar os membros do Comitê para reuniões ordinárias e extraordinárias; </w:t>
      </w:r>
    </w:p>
    <w:p w:rsidR="00AC01E0" w:rsidRDefault="00AC01E0">
      <w:pPr>
        <w:pStyle w:val="Cabealho"/>
        <w:ind w:firstLine="1134"/>
        <w:jc w:val="both"/>
        <w:rPr>
          <w:sz w:val="24"/>
        </w:rPr>
      </w:pPr>
      <w:r>
        <w:rPr>
          <w:sz w:val="24"/>
        </w:rPr>
        <w:t xml:space="preserve">VI- elaborar as pautas das reuniões do Comitê Gestor do Sítio e suas respectivas atas; </w:t>
      </w:r>
    </w:p>
    <w:p w:rsidR="00AC01E0" w:rsidRDefault="00AC01E0">
      <w:pPr>
        <w:pStyle w:val="Cabealho"/>
        <w:ind w:firstLine="1134"/>
        <w:jc w:val="both"/>
        <w:rPr>
          <w:sz w:val="24"/>
        </w:rPr>
      </w:pPr>
      <w:r>
        <w:rPr>
          <w:sz w:val="24"/>
        </w:rPr>
        <w:t xml:space="preserve">VII - efetuar a gestão da Caixa Postal do Comitê, estabelecendo um canal direto de interação com os usuários; </w:t>
      </w:r>
    </w:p>
    <w:p w:rsidR="00AC01E0" w:rsidRDefault="00AC01E0">
      <w:pPr>
        <w:pStyle w:val="Cabealho"/>
        <w:ind w:firstLine="1134"/>
        <w:jc w:val="both"/>
        <w:rPr>
          <w:sz w:val="24"/>
        </w:rPr>
      </w:pPr>
      <w:r>
        <w:rPr>
          <w:sz w:val="24"/>
        </w:rPr>
        <w:t xml:space="preserve">VIII - redigir documentos e relatórios pertinentes às atividades do Comitê; </w:t>
      </w:r>
    </w:p>
    <w:p w:rsidR="00AC01E0" w:rsidRDefault="00AC01E0">
      <w:pPr>
        <w:pStyle w:val="Cabealho"/>
        <w:ind w:firstLine="1134"/>
        <w:jc w:val="both"/>
        <w:rPr>
          <w:sz w:val="24"/>
        </w:rPr>
      </w:pPr>
      <w:r>
        <w:rPr>
          <w:sz w:val="24"/>
        </w:rPr>
        <w:t xml:space="preserve">IX - acompanhar estatísticas e desenvolver relatórios a partir desses dados; </w:t>
      </w:r>
    </w:p>
    <w:p w:rsidR="00AC01E0" w:rsidRDefault="00AC01E0">
      <w:pPr>
        <w:pStyle w:val="Cabealho"/>
        <w:ind w:firstLine="1134"/>
        <w:jc w:val="both"/>
        <w:rPr>
          <w:sz w:val="24"/>
        </w:rPr>
      </w:pPr>
      <w:r>
        <w:rPr>
          <w:sz w:val="24"/>
        </w:rPr>
        <w:t xml:space="preserve">X - iniciar os processos administrativos a pedido do Comitê e propor despachos aos processos recebidos, observando o alinhamento desses com o Planejamento Estratégico do Comitê; </w:t>
      </w:r>
    </w:p>
    <w:p w:rsidR="00AC01E0" w:rsidRDefault="00AC01E0">
      <w:pPr>
        <w:pStyle w:val="Cabealho"/>
        <w:ind w:firstLine="1134"/>
        <w:jc w:val="both"/>
        <w:rPr>
          <w:sz w:val="24"/>
        </w:rPr>
      </w:pPr>
      <w:r>
        <w:rPr>
          <w:sz w:val="24"/>
        </w:rPr>
        <w:t xml:space="preserve">XI - elaborar propostas de políticas do Comitê; </w:t>
      </w:r>
    </w:p>
    <w:p w:rsidR="00AC01E0" w:rsidRDefault="00AC01E0">
      <w:pPr>
        <w:pStyle w:val="Cabealho"/>
        <w:ind w:firstLine="1134"/>
        <w:jc w:val="both"/>
        <w:rPr>
          <w:sz w:val="24"/>
        </w:rPr>
      </w:pPr>
      <w:r>
        <w:rPr>
          <w:sz w:val="24"/>
        </w:rPr>
        <w:t xml:space="preserve">XII - elaborar documentos que auxiliem tomadas de decisão do Comitê; </w:t>
      </w:r>
    </w:p>
    <w:p w:rsidR="00AC01E0" w:rsidRDefault="00AC01E0">
      <w:pPr>
        <w:pStyle w:val="Cabealho"/>
        <w:ind w:firstLine="1134"/>
        <w:jc w:val="both"/>
        <w:rPr>
          <w:sz w:val="24"/>
        </w:rPr>
      </w:pPr>
      <w:r>
        <w:rPr>
          <w:sz w:val="24"/>
        </w:rPr>
        <w:t xml:space="preserve">XIII - diagnosticar as dificuldades dos usuários no uso das ferramentas de gestão de conteúdo do Portal; </w:t>
      </w:r>
    </w:p>
    <w:p w:rsidR="00AC01E0" w:rsidRDefault="00AC01E0">
      <w:pPr>
        <w:pStyle w:val="Cabealho"/>
        <w:ind w:firstLine="1134"/>
        <w:jc w:val="both"/>
        <w:rPr>
          <w:sz w:val="24"/>
        </w:rPr>
      </w:pPr>
      <w:r>
        <w:rPr>
          <w:sz w:val="24"/>
        </w:rPr>
        <w:t xml:space="preserve">XIV - gerenciar a página da comunidade virtual dos provedores, atualizando seu conteúdo e criando políticas de incentivo para a participação dos provedores nessa comunidade; </w:t>
      </w:r>
    </w:p>
    <w:p w:rsidR="00AC01E0" w:rsidRDefault="00AC01E0">
      <w:pPr>
        <w:pStyle w:val="Cabealho"/>
        <w:ind w:firstLine="1134"/>
        <w:jc w:val="both"/>
        <w:rPr>
          <w:sz w:val="24"/>
        </w:rPr>
      </w:pPr>
      <w:r>
        <w:rPr>
          <w:sz w:val="24"/>
        </w:rPr>
        <w:t xml:space="preserve">XV - manter atualizado o cadastro de provedores de conteúdo; </w:t>
      </w:r>
    </w:p>
    <w:p w:rsidR="00AC01E0" w:rsidRDefault="00AC01E0">
      <w:pPr>
        <w:pStyle w:val="Cabealho"/>
        <w:ind w:firstLine="1134"/>
        <w:jc w:val="both"/>
        <w:rPr>
          <w:sz w:val="24"/>
        </w:rPr>
      </w:pPr>
      <w:r>
        <w:rPr>
          <w:sz w:val="24"/>
        </w:rPr>
        <w:t xml:space="preserve">XVI - avaliar e propor implementação dos conteúdos para inglês e espanhol; </w:t>
      </w:r>
    </w:p>
    <w:p w:rsidR="00AC01E0" w:rsidRDefault="00AC01E0">
      <w:pPr>
        <w:pStyle w:val="Cabealho"/>
        <w:ind w:firstLine="1134"/>
        <w:jc w:val="both"/>
        <w:rPr>
          <w:sz w:val="24"/>
        </w:rPr>
      </w:pPr>
      <w:r>
        <w:rPr>
          <w:sz w:val="24"/>
        </w:rPr>
        <w:t xml:space="preserve">XVII - divulgar melhores práticas de edição de conteúdo no Portal para os provedores; </w:t>
      </w:r>
    </w:p>
    <w:p w:rsidR="00AC01E0" w:rsidRDefault="00AC01E0">
      <w:pPr>
        <w:pStyle w:val="Cabealho"/>
        <w:ind w:firstLine="1134"/>
        <w:jc w:val="both"/>
        <w:rPr>
          <w:sz w:val="24"/>
        </w:rPr>
      </w:pPr>
      <w:r>
        <w:rPr>
          <w:sz w:val="24"/>
        </w:rPr>
        <w:t xml:space="preserve">XVIII - solicitar os cursos necessários à capacitação dos membros e secretários do Comitê e dos provedores de conteúdo das páginas do Portal; </w:t>
      </w:r>
    </w:p>
    <w:p w:rsidR="00AC01E0" w:rsidRDefault="00AC01E0">
      <w:pPr>
        <w:pStyle w:val="Cabealho"/>
        <w:ind w:firstLine="1134"/>
        <w:jc w:val="both"/>
        <w:rPr>
          <w:sz w:val="24"/>
        </w:rPr>
      </w:pPr>
      <w:r>
        <w:rPr>
          <w:sz w:val="24"/>
        </w:rPr>
        <w:t xml:space="preserve">Parágrafo único. Os funcionários responsáveis pela Secretaria do Comitê serão indicados pelo Comitê Gestor do Sítio e nomeados pelo Diretor-Geral. </w:t>
      </w:r>
      <w:hyperlink r:id="rId9" w:history="1">
        <w:r>
          <w:rPr>
            <w:rStyle w:val="Hyperlink"/>
            <w:i/>
            <w:sz w:val="24"/>
          </w:rPr>
          <w:t>(Artigo com redação dada pela Portaria nº 39, de 29/5/2008)</w:t>
        </w:r>
      </w:hyperlink>
    </w:p>
    <w:p w:rsidR="00AC01E0" w:rsidRDefault="00AC01E0">
      <w:pPr>
        <w:pStyle w:val="Cabealho"/>
        <w:ind w:firstLine="1134"/>
        <w:jc w:val="both"/>
        <w:rPr>
          <w:sz w:val="24"/>
        </w:rPr>
      </w:pPr>
    </w:p>
    <w:p w:rsidR="00310274" w:rsidRPr="00310274" w:rsidRDefault="00310274" w:rsidP="00310274">
      <w:pPr>
        <w:pStyle w:val="Cabealho"/>
        <w:ind w:firstLine="1134"/>
        <w:jc w:val="both"/>
        <w:rPr>
          <w:sz w:val="24"/>
        </w:rPr>
      </w:pPr>
      <w:r w:rsidRPr="00310274">
        <w:rPr>
          <w:sz w:val="24"/>
        </w:rPr>
        <w:t>Art. 5º O Comitê Gestor do Portal da Câmara dos Deputados será constituído por representantes dos seguintes órgãos, indicados pelos seus titulares e designados por Portaria do Diretor-Geral:</w:t>
      </w:r>
    </w:p>
    <w:p w:rsidR="00310274" w:rsidRPr="00310274" w:rsidRDefault="00310274" w:rsidP="00310274">
      <w:pPr>
        <w:pStyle w:val="Cabealho"/>
        <w:ind w:firstLine="1134"/>
        <w:jc w:val="both"/>
        <w:rPr>
          <w:sz w:val="24"/>
        </w:rPr>
      </w:pPr>
      <w:r w:rsidRPr="00310274">
        <w:rPr>
          <w:sz w:val="24"/>
        </w:rPr>
        <w:t>- Assessoria de Projetos e Gestão - APROGE;</w:t>
      </w:r>
    </w:p>
    <w:p w:rsidR="00310274" w:rsidRPr="00310274" w:rsidRDefault="00310274" w:rsidP="00310274">
      <w:pPr>
        <w:pStyle w:val="Cabealho"/>
        <w:ind w:firstLine="1134"/>
        <w:jc w:val="both"/>
        <w:rPr>
          <w:sz w:val="24"/>
        </w:rPr>
      </w:pPr>
      <w:r w:rsidRPr="00310274">
        <w:rPr>
          <w:sz w:val="24"/>
        </w:rPr>
        <w:t xml:space="preserve">- Centro de Documentação e Informação - CEDI; </w:t>
      </w:r>
    </w:p>
    <w:p w:rsidR="00310274" w:rsidRPr="00310274" w:rsidRDefault="00310274" w:rsidP="00310274">
      <w:pPr>
        <w:pStyle w:val="Cabealho"/>
        <w:ind w:firstLine="1134"/>
        <w:jc w:val="both"/>
        <w:rPr>
          <w:sz w:val="24"/>
        </w:rPr>
      </w:pPr>
      <w:r w:rsidRPr="00310274">
        <w:rPr>
          <w:sz w:val="24"/>
        </w:rPr>
        <w:t>- Centro de Informática - CENIN;</w:t>
      </w:r>
    </w:p>
    <w:p w:rsidR="00310274" w:rsidRPr="00310274" w:rsidRDefault="00310274" w:rsidP="00310274">
      <w:pPr>
        <w:pStyle w:val="Cabealho"/>
        <w:ind w:firstLine="1134"/>
        <w:jc w:val="both"/>
        <w:rPr>
          <w:sz w:val="24"/>
        </w:rPr>
      </w:pPr>
      <w:r w:rsidRPr="00310274">
        <w:rPr>
          <w:sz w:val="24"/>
        </w:rPr>
        <w:t>- Secretaria de Comunicação Social - SECOM;</w:t>
      </w:r>
    </w:p>
    <w:p w:rsidR="00310274" w:rsidRPr="00310274" w:rsidRDefault="00310274" w:rsidP="00310274">
      <w:pPr>
        <w:pStyle w:val="Cabealho"/>
        <w:ind w:firstLine="1134"/>
        <w:jc w:val="both"/>
        <w:rPr>
          <w:sz w:val="24"/>
        </w:rPr>
      </w:pPr>
      <w:r w:rsidRPr="00310274">
        <w:rPr>
          <w:sz w:val="24"/>
        </w:rPr>
        <w:t>- Diretoria-Geral - DG;</w:t>
      </w:r>
    </w:p>
    <w:p w:rsidR="00310274" w:rsidRPr="00310274" w:rsidRDefault="00310274" w:rsidP="00310274">
      <w:pPr>
        <w:pStyle w:val="Cabealho"/>
        <w:ind w:firstLine="1134"/>
        <w:jc w:val="both"/>
        <w:rPr>
          <w:sz w:val="24"/>
        </w:rPr>
      </w:pPr>
      <w:r w:rsidRPr="00310274">
        <w:rPr>
          <w:sz w:val="24"/>
        </w:rPr>
        <w:t>- Diretoria Legislativa - DILEG;</w:t>
      </w:r>
    </w:p>
    <w:p w:rsidR="00310274" w:rsidRPr="00310274" w:rsidRDefault="00310274" w:rsidP="00310274">
      <w:pPr>
        <w:pStyle w:val="Cabealho"/>
        <w:ind w:firstLine="1134"/>
        <w:jc w:val="both"/>
        <w:rPr>
          <w:sz w:val="24"/>
        </w:rPr>
      </w:pPr>
      <w:r w:rsidRPr="00310274">
        <w:rPr>
          <w:sz w:val="24"/>
        </w:rPr>
        <w:lastRenderedPageBreak/>
        <w:t>- Secretaria Geral da Mesa - SGM;</w:t>
      </w:r>
    </w:p>
    <w:p w:rsidR="00310274" w:rsidRPr="00310274" w:rsidRDefault="00310274" w:rsidP="00310274">
      <w:pPr>
        <w:pStyle w:val="Cabealho"/>
        <w:ind w:firstLine="1134"/>
        <w:jc w:val="both"/>
        <w:rPr>
          <w:sz w:val="24"/>
        </w:rPr>
      </w:pPr>
      <w:r w:rsidRPr="00310274">
        <w:rPr>
          <w:sz w:val="24"/>
        </w:rPr>
        <w:t>- Diretoria Administrativa - DIRAD;</w:t>
      </w:r>
    </w:p>
    <w:p w:rsidR="00310274" w:rsidRDefault="00310274" w:rsidP="00310274">
      <w:pPr>
        <w:pStyle w:val="Cabealho"/>
        <w:ind w:firstLine="1134"/>
        <w:jc w:val="both"/>
        <w:rPr>
          <w:sz w:val="24"/>
        </w:rPr>
      </w:pPr>
      <w:r w:rsidRPr="00310274">
        <w:rPr>
          <w:sz w:val="24"/>
        </w:rPr>
        <w:t>- Diret</w:t>
      </w:r>
      <w:r>
        <w:rPr>
          <w:sz w:val="24"/>
        </w:rPr>
        <w:t xml:space="preserve">oria de Recursos Humanos - DRH. </w:t>
      </w:r>
      <w:hyperlink r:id="rId10" w:history="1">
        <w:r w:rsidRPr="00310274">
          <w:rPr>
            <w:rStyle w:val="Hyperlink"/>
            <w:i/>
            <w:sz w:val="24"/>
          </w:rPr>
          <w:t>(Artigo com redação dada pela Portaria nº 97, de 6/4/2016)</w:t>
        </w:r>
      </w:hyperlink>
      <w:r w:rsidR="00D023BB">
        <w:rPr>
          <w:i/>
          <w:sz w:val="24"/>
        </w:rPr>
        <w:t xml:space="preserve">  </w:t>
      </w:r>
      <w:hyperlink r:id="rId11" w:history="1">
        <w:r w:rsidR="00D023BB" w:rsidRPr="005E1871">
          <w:rPr>
            <w:rStyle w:val="Hyperlink"/>
            <w:i/>
            <w:sz w:val="24"/>
          </w:rPr>
          <w:t xml:space="preserve">(Para composição do Comitê, vide art. 1º da Portaria nº </w:t>
        </w:r>
        <w:r w:rsidR="00357828" w:rsidRPr="005E1871">
          <w:rPr>
            <w:rStyle w:val="Hyperlink"/>
            <w:i/>
            <w:sz w:val="24"/>
          </w:rPr>
          <w:t>168</w:t>
        </w:r>
        <w:r w:rsidR="00D023BB" w:rsidRPr="005E1871">
          <w:rPr>
            <w:rStyle w:val="Hyperlink"/>
            <w:i/>
            <w:sz w:val="24"/>
          </w:rPr>
          <w:t xml:space="preserve">, de </w:t>
        </w:r>
        <w:r w:rsidR="00357828" w:rsidRPr="005E1871">
          <w:rPr>
            <w:rStyle w:val="Hyperlink"/>
            <w:i/>
            <w:sz w:val="24"/>
          </w:rPr>
          <w:t>13</w:t>
        </w:r>
        <w:r w:rsidR="00D023BB" w:rsidRPr="005E1871">
          <w:rPr>
            <w:rStyle w:val="Hyperlink"/>
            <w:i/>
            <w:sz w:val="24"/>
          </w:rPr>
          <w:t>/</w:t>
        </w:r>
        <w:r w:rsidR="00357828" w:rsidRPr="005E1871">
          <w:rPr>
            <w:rStyle w:val="Hyperlink"/>
            <w:i/>
            <w:sz w:val="24"/>
          </w:rPr>
          <w:t>8</w:t>
        </w:r>
        <w:r w:rsidR="00D023BB" w:rsidRPr="005E1871">
          <w:rPr>
            <w:rStyle w:val="Hyperlink"/>
            <w:i/>
            <w:sz w:val="24"/>
          </w:rPr>
          <w:t>/201</w:t>
        </w:r>
        <w:r w:rsidR="00B333ED" w:rsidRPr="005E1871">
          <w:rPr>
            <w:rStyle w:val="Hyperlink"/>
            <w:i/>
            <w:sz w:val="24"/>
          </w:rPr>
          <w:t>8</w:t>
        </w:r>
        <w:r w:rsidR="00D023BB" w:rsidRPr="005E1871">
          <w:rPr>
            <w:rStyle w:val="Hyperlink"/>
            <w:i/>
            <w:sz w:val="24"/>
          </w:rPr>
          <w:t>)</w:t>
        </w:r>
      </w:hyperlink>
    </w:p>
    <w:p w:rsidR="00310274" w:rsidRDefault="00310274" w:rsidP="000357F7">
      <w:pPr>
        <w:pStyle w:val="Cabealho"/>
        <w:ind w:firstLine="1134"/>
        <w:jc w:val="both"/>
        <w:rPr>
          <w:sz w:val="24"/>
        </w:rPr>
      </w:pPr>
    </w:p>
    <w:p w:rsidR="002D30B0" w:rsidRDefault="00AC01E0" w:rsidP="002D30B0">
      <w:pPr>
        <w:pStyle w:val="Cabealho"/>
        <w:ind w:firstLine="1134"/>
        <w:jc w:val="both"/>
      </w:pPr>
      <w:r>
        <w:rPr>
          <w:sz w:val="24"/>
        </w:rPr>
        <w:t xml:space="preserve">Art. 6º A Coordenação dos trabalhos do Comitê Gestor do Portal da Câmara dos Deputados ficará sob a responsabilidade da Assessoria de Projetos Especiais da Diretoria-Geral - APROJ-DG. </w:t>
      </w:r>
      <w:hyperlink r:id="rId12" w:history="1">
        <w:r>
          <w:rPr>
            <w:rStyle w:val="Hyperlink"/>
            <w:i/>
            <w:sz w:val="24"/>
          </w:rPr>
          <w:t>(Artigo com redação dada pela Portaria nº 19, de 13/3/2009)</w:t>
        </w:r>
      </w:hyperlink>
      <w:r w:rsidR="00BC6723">
        <w:rPr>
          <w:i/>
          <w:sz w:val="24"/>
        </w:rPr>
        <w:t xml:space="preserve"> </w:t>
      </w:r>
      <w:r w:rsidR="002D30B0">
        <w:rPr>
          <w:i/>
          <w:sz w:val="24"/>
        </w:rPr>
        <w:t xml:space="preserve"> </w:t>
      </w:r>
      <w:hyperlink r:id="rId13" w:history="1">
        <w:r w:rsidR="00BC6723" w:rsidRPr="005E1871">
          <w:rPr>
            <w:rStyle w:val="Hyperlink"/>
            <w:i/>
            <w:sz w:val="24"/>
          </w:rPr>
          <w:t>(</w:t>
        </w:r>
        <w:r w:rsidR="00DF7BCC" w:rsidRPr="005E1871">
          <w:rPr>
            <w:rStyle w:val="Hyperlink"/>
            <w:i/>
            <w:sz w:val="24"/>
          </w:rPr>
          <w:t>V</w:t>
        </w:r>
        <w:r w:rsidR="00BC6723" w:rsidRPr="005E1871">
          <w:rPr>
            <w:rStyle w:val="Hyperlink"/>
            <w:i/>
            <w:sz w:val="24"/>
          </w:rPr>
          <w:t xml:space="preserve">ide art. </w:t>
        </w:r>
        <w:r w:rsidR="00DF7BCC" w:rsidRPr="005E1871">
          <w:rPr>
            <w:rStyle w:val="Hyperlink"/>
            <w:i/>
            <w:sz w:val="24"/>
          </w:rPr>
          <w:t>2</w:t>
        </w:r>
        <w:r w:rsidR="00BC6723" w:rsidRPr="005E1871">
          <w:rPr>
            <w:rStyle w:val="Hyperlink"/>
            <w:i/>
            <w:sz w:val="24"/>
          </w:rPr>
          <w:t xml:space="preserve">º da Portaria nº </w:t>
        </w:r>
        <w:r w:rsidR="001A4439" w:rsidRPr="005E1871">
          <w:rPr>
            <w:rStyle w:val="Hyperlink"/>
            <w:i/>
            <w:sz w:val="24"/>
          </w:rPr>
          <w:t>1</w:t>
        </w:r>
        <w:r w:rsidR="00145E19" w:rsidRPr="005E1871">
          <w:rPr>
            <w:rStyle w:val="Hyperlink"/>
            <w:i/>
            <w:sz w:val="24"/>
          </w:rPr>
          <w:t>6</w:t>
        </w:r>
        <w:r w:rsidR="001A4439" w:rsidRPr="005E1871">
          <w:rPr>
            <w:rStyle w:val="Hyperlink"/>
            <w:i/>
            <w:sz w:val="24"/>
          </w:rPr>
          <w:t>8</w:t>
        </w:r>
        <w:r w:rsidR="00BC6723" w:rsidRPr="005E1871">
          <w:rPr>
            <w:rStyle w:val="Hyperlink"/>
            <w:i/>
            <w:sz w:val="24"/>
          </w:rPr>
          <w:t xml:space="preserve">, de </w:t>
        </w:r>
        <w:r w:rsidR="001A4439" w:rsidRPr="005E1871">
          <w:rPr>
            <w:rStyle w:val="Hyperlink"/>
            <w:i/>
            <w:sz w:val="24"/>
          </w:rPr>
          <w:t>13</w:t>
        </w:r>
        <w:r w:rsidR="00BC6723" w:rsidRPr="005E1871">
          <w:rPr>
            <w:rStyle w:val="Hyperlink"/>
            <w:i/>
            <w:sz w:val="24"/>
          </w:rPr>
          <w:t>/</w:t>
        </w:r>
        <w:r w:rsidR="001A4439" w:rsidRPr="005E1871">
          <w:rPr>
            <w:rStyle w:val="Hyperlink"/>
            <w:i/>
            <w:sz w:val="24"/>
          </w:rPr>
          <w:t>8</w:t>
        </w:r>
        <w:r w:rsidR="00BC6723" w:rsidRPr="005E1871">
          <w:rPr>
            <w:rStyle w:val="Hyperlink"/>
            <w:i/>
            <w:sz w:val="24"/>
          </w:rPr>
          <w:t>/201</w:t>
        </w:r>
        <w:r w:rsidR="00145E19" w:rsidRPr="005E1871">
          <w:rPr>
            <w:rStyle w:val="Hyperlink"/>
            <w:i/>
            <w:sz w:val="24"/>
          </w:rPr>
          <w:t>8</w:t>
        </w:r>
        <w:r w:rsidR="00BC6723" w:rsidRPr="005E1871">
          <w:rPr>
            <w:rStyle w:val="Hyperlink"/>
            <w:i/>
            <w:sz w:val="24"/>
          </w:rPr>
          <w:t>)</w:t>
        </w:r>
      </w:hyperlink>
      <w:r w:rsidR="002D30B0">
        <w:rPr>
          <w:i/>
          <w:sz w:val="24"/>
        </w:rPr>
        <w:t xml:space="preserve"> </w:t>
      </w:r>
    </w:p>
    <w:p w:rsidR="00AC01E0" w:rsidRDefault="00AC01E0">
      <w:pPr>
        <w:ind w:firstLine="1134"/>
        <w:jc w:val="both"/>
      </w:pPr>
    </w:p>
    <w:p w:rsidR="00AC01E0" w:rsidRDefault="00AC01E0">
      <w:pPr>
        <w:pStyle w:val="Cabealho"/>
        <w:ind w:firstLine="1134"/>
        <w:jc w:val="both"/>
        <w:rPr>
          <w:sz w:val="24"/>
        </w:rPr>
      </w:pPr>
      <w:r>
        <w:rPr>
          <w:sz w:val="24"/>
        </w:rPr>
        <w:t xml:space="preserve">Art. 7º As competências do Comitê que, por ventura, surgirem em decorrência da sua atuação ou da necessidade de suprir novas demandas serão objeto de análise do Diretor-Geral. </w:t>
      </w:r>
    </w:p>
    <w:p w:rsidR="00AC01E0" w:rsidRDefault="00AC01E0">
      <w:pPr>
        <w:pStyle w:val="Cabealho"/>
        <w:ind w:firstLine="1134"/>
        <w:jc w:val="both"/>
        <w:rPr>
          <w:sz w:val="24"/>
        </w:rPr>
      </w:pPr>
    </w:p>
    <w:p w:rsidR="00AC01E0" w:rsidRDefault="00AC01E0">
      <w:pPr>
        <w:pStyle w:val="Cabealho"/>
        <w:ind w:firstLine="1134"/>
        <w:jc w:val="both"/>
        <w:rPr>
          <w:sz w:val="24"/>
        </w:rPr>
      </w:pPr>
      <w:r>
        <w:rPr>
          <w:sz w:val="24"/>
        </w:rPr>
        <w:t xml:space="preserve">Art. 8º </w:t>
      </w:r>
      <w:hyperlink r:id="rId14" w:history="1">
        <w:r w:rsidR="00EA7C9A" w:rsidRPr="00D023BB">
          <w:rPr>
            <w:rStyle w:val="Hyperlink"/>
            <w:i/>
            <w:sz w:val="24"/>
          </w:rPr>
          <w:t>(</w:t>
        </w:r>
        <w:r w:rsidR="00EA7C9A">
          <w:rPr>
            <w:rStyle w:val="Hyperlink"/>
            <w:i/>
            <w:sz w:val="24"/>
          </w:rPr>
          <w:t>Revogado pela</w:t>
        </w:r>
        <w:r w:rsidR="00EA7C9A" w:rsidRPr="00D023BB">
          <w:rPr>
            <w:rStyle w:val="Hyperlink"/>
            <w:i/>
            <w:sz w:val="24"/>
          </w:rPr>
          <w:t xml:space="preserve"> Portaria nº 218, de 18/10/2016)</w:t>
        </w:r>
      </w:hyperlink>
    </w:p>
    <w:p w:rsidR="00AC01E0" w:rsidRDefault="00AC01E0">
      <w:pPr>
        <w:pStyle w:val="Cabealho"/>
        <w:ind w:firstLine="1134"/>
        <w:jc w:val="both"/>
        <w:rPr>
          <w:sz w:val="24"/>
        </w:rPr>
      </w:pPr>
    </w:p>
    <w:p w:rsidR="00AC01E0" w:rsidRDefault="00AC01E0">
      <w:pPr>
        <w:pStyle w:val="Cabealho"/>
        <w:ind w:firstLine="1134"/>
        <w:jc w:val="both"/>
        <w:rPr>
          <w:sz w:val="24"/>
        </w:rPr>
      </w:pPr>
      <w:r>
        <w:rPr>
          <w:sz w:val="24"/>
        </w:rPr>
        <w:t xml:space="preserve">Art. 9º Este Ato entra em vigor na data de publicação. </w:t>
      </w:r>
    </w:p>
    <w:p w:rsidR="00AC01E0" w:rsidRDefault="00AC01E0">
      <w:pPr>
        <w:pStyle w:val="Cabealho"/>
        <w:ind w:firstLine="1134"/>
        <w:jc w:val="both"/>
        <w:rPr>
          <w:sz w:val="24"/>
        </w:rPr>
      </w:pPr>
    </w:p>
    <w:p w:rsidR="00AC01E0" w:rsidRDefault="00AC01E0">
      <w:pPr>
        <w:pStyle w:val="Cabealho"/>
        <w:ind w:firstLine="1134"/>
        <w:jc w:val="both"/>
        <w:rPr>
          <w:sz w:val="24"/>
        </w:rPr>
      </w:pPr>
      <w:r>
        <w:rPr>
          <w:sz w:val="24"/>
        </w:rPr>
        <w:t>Em 24/11/2004.</w:t>
      </w:r>
    </w:p>
    <w:p w:rsidR="00AC01E0" w:rsidRDefault="00AC01E0">
      <w:pPr>
        <w:pStyle w:val="Cabealho"/>
        <w:ind w:firstLine="1134"/>
        <w:jc w:val="both"/>
        <w:rPr>
          <w:sz w:val="24"/>
        </w:rPr>
      </w:pPr>
    </w:p>
    <w:p w:rsidR="00AC01E0" w:rsidRDefault="00AC01E0">
      <w:pPr>
        <w:pStyle w:val="Cabealho"/>
        <w:ind w:firstLine="1134"/>
        <w:jc w:val="both"/>
        <w:rPr>
          <w:sz w:val="24"/>
        </w:rPr>
      </w:pPr>
      <w:r>
        <w:rPr>
          <w:sz w:val="24"/>
        </w:rPr>
        <w:t>SÉRGIO SAMPAIO CONTREIRAS DE ALMEIDA,</w:t>
      </w:r>
    </w:p>
    <w:p w:rsidR="00AC01E0" w:rsidRDefault="00AC01E0">
      <w:pPr>
        <w:pStyle w:val="Cabealho"/>
        <w:ind w:firstLine="1134"/>
        <w:jc w:val="both"/>
      </w:pPr>
      <w:r>
        <w:rPr>
          <w:sz w:val="24"/>
        </w:rPr>
        <w:t>Diretor-Geral.</w:t>
      </w:r>
    </w:p>
    <w:sectPr w:rsidR="00AC01E0">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071BA"/>
    <w:multiLevelType w:val="singleLevel"/>
    <w:tmpl w:val="63FC31E0"/>
    <w:lvl w:ilvl="0">
      <w:numFmt w:val="bullet"/>
      <w:lvlText w:val="-"/>
      <w:lvlJc w:val="left"/>
      <w:pPr>
        <w:tabs>
          <w:tab w:val="num" w:pos="1494"/>
        </w:tabs>
        <w:ind w:left="1494" w:hanging="360"/>
      </w:pPr>
      <w:rPr>
        <w:rFonts w:hint="default"/>
      </w:rPr>
    </w:lvl>
  </w:abstractNum>
  <w:abstractNum w:abstractNumId="1" w15:restartNumberingAfterBreak="0">
    <w:nsid w:val="5E5C3589"/>
    <w:multiLevelType w:val="singleLevel"/>
    <w:tmpl w:val="EA0C4E9A"/>
    <w:lvl w:ilvl="0">
      <w:numFmt w:val="bullet"/>
      <w:lvlText w:val="-"/>
      <w:lvlJc w:val="left"/>
      <w:pPr>
        <w:tabs>
          <w:tab w:val="num" w:pos="1494"/>
        </w:tabs>
        <w:ind w:left="1494"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7F7"/>
    <w:rsid w:val="000357F7"/>
    <w:rsid w:val="00077453"/>
    <w:rsid w:val="001364B7"/>
    <w:rsid w:val="00145E19"/>
    <w:rsid w:val="00151E21"/>
    <w:rsid w:val="001A4439"/>
    <w:rsid w:val="002871BF"/>
    <w:rsid w:val="002D30B0"/>
    <w:rsid w:val="00310274"/>
    <w:rsid w:val="00357828"/>
    <w:rsid w:val="004B6BE4"/>
    <w:rsid w:val="005E1871"/>
    <w:rsid w:val="006F6FA2"/>
    <w:rsid w:val="00751624"/>
    <w:rsid w:val="008F1442"/>
    <w:rsid w:val="00964000"/>
    <w:rsid w:val="0097345D"/>
    <w:rsid w:val="00AC01E0"/>
    <w:rsid w:val="00B22A83"/>
    <w:rsid w:val="00B333ED"/>
    <w:rsid w:val="00BC6723"/>
    <w:rsid w:val="00C81E63"/>
    <w:rsid w:val="00C9027E"/>
    <w:rsid w:val="00D023BB"/>
    <w:rsid w:val="00DF7BCC"/>
    <w:rsid w:val="00E20E50"/>
    <w:rsid w:val="00E41788"/>
    <w:rsid w:val="00EA7C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706ECE1-2CE1-41A1-999C-A3F53124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610437">
      <w:bodyDiv w:val="1"/>
      <w:marLeft w:val="0"/>
      <w:marRight w:val="0"/>
      <w:marTop w:val="0"/>
      <w:marBottom w:val="0"/>
      <w:divBdr>
        <w:top w:val="none" w:sz="0" w:space="0" w:color="auto"/>
        <w:left w:val="none" w:sz="0" w:space="0" w:color="auto"/>
        <w:bottom w:val="none" w:sz="0" w:space="0" w:color="auto"/>
        <w:right w:val="none" w:sz="0" w:space="0" w:color="auto"/>
      </w:divBdr>
      <w:divsChild>
        <w:div w:id="1921208156">
          <w:marLeft w:val="0"/>
          <w:marRight w:val="0"/>
          <w:marTop w:val="0"/>
          <w:marBottom w:val="0"/>
          <w:divBdr>
            <w:top w:val="none" w:sz="0" w:space="0" w:color="auto"/>
            <w:left w:val="none" w:sz="0" w:space="0" w:color="auto"/>
            <w:bottom w:val="none" w:sz="0" w:space="0" w:color="auto"/>
            <w:right w:val="none" w:sz="0" w:space="0" w:color="auto"/>
          </w:divBdr>
          <w:divsChild>
            <w:div w:id="2049866033">
              <w:marLeft w:val="0"/>
              <w:marRight w:val="0"/>
              <w:marTop w:val="0"/>
              <w:marBottom w:val="0"/>
              <w:divBdr>
                <w:top w:val="none" w:sz="0" w:space="0" w:color="auto"/>
                <w:left w:val="none" w:sz="0" w:space="0" w:color="auto"/>
                <w:bottom w:val="none" w:sz="0" w:space="0" w:color="auto"/>
                <w:right w:val="none" w:sz="0" w:space="0" w:color="auto"/>
              </w:divBdr>
              <w:divsChild>
                <w:div w:id="1678842998">
                  <w:marLeft w:val="0"/>
                  <w:marRight w:val="0"/>
                  <w:marTop w:val="0"/>
                  <w:marBottom w:val="0"/>
                  <w:divBdr>
                    <w:top w:val="none" w:sz="0" w:space="0" w:color="auto"/>
                    <w:left w:val="none" w:sz="0" w:space="0" w:color="auto"/>
                    <w:bottom w:val="none" w:sz="0" w:space="0" w:color="auto"/>
                    <w:right w:val="none" w:sz="0" w:space="0" w:color="auto"/>
                  </w:divBdr>
                  <w:divsChild>
                    <w:div w:id="657003010">
                      <w:marLeft w:val="0"/>
                      <w:marRight w:val="0"/>
                      <w:marTop w:val="0"/>
                      <w:marBottom w:val="0"/>
                      <w:divBdr>
                        <w:top w:val="none" w:sz="0" w:space="0" w:color="auto"/>
                        <w:left w:val="none" w:sz="0" w:space="0" w:color="auto"/>
                        <w:bottom w:val="none" w:sz="0" w:space="0" w:color="auto"/>
                        <w:right w:val="none" w:sz="0" w:space="0" w:color="auto"/>
                      </w:divBdr>
                      <w:divsChild>
                        <w:div w:id="446628485">
                          <w:marLeft w:val="0"/>
                          <w:marRight w:val="0"/>
                          <w:marTop w:val="0"/>
                          <w:marBottom w:val="0"/>
                          <w:divBdr>
                            <w:top w:val="none" w:sz="0" w:space="0" w:color="auto"/>
                            <w:left w:val="none" w:sz="0" w:space="0" w:color="auto"/>
                            <w:bottom w:val="none" w:sz="0" w:space="0" w:color="auto"/>
                            <w:right w:val="none" w:sz="0" w:space="0" w:color="auto"/>
                          </w:divBdr>
                          <w:divsChild>
                            <w:div w:id="13725928">
                              <w:marLeft w:val="0"/>
                              <w:marRight w:val="0"/>
                              <w:marTop w:val="0"/>
                              <w:marBottom w:val="0"/>
                              <w:divBdr>
                                <w:top w:val="none" w:sz="0" w:space="0" w:color="auto"/>
                                <w:left w:val="none" w:sz="0" w:space="0" w:color="auto"/>
                                <w:bottom w:val="none" w:sz="0" w:space="0" w:color="auto"/>
                                <w:right w:val="none" w:sz="0" w:space="0" w:color="auto"/>
                              </w:divBdr>
                              <w:divsChild>
                                <w:div w:id="2017413582">
                                  <w:marLeft w:val="0"/>
                                  <w:marRight w:val="0"/>
                                  <w:marTop w:val="0"/>
                                  <w:marBottom w:val="0"/>
                                  <w:divBdr>
                                    <w:top w:val="none" w:sz="0" w:space="0" w:color="auto"/>
                                    <w:left w:val="none" w:sz="0" w:space="0" w:color="auto"/>
                                    <w:bottom w:val="none" w:sz="0" w:space="0" w:color="auto"/>
                                    <w:right w:val="none" w:sz="0" w:space="0" w:color="auto"/>
                                  </w:divBdr>
                                  <w:divsChild>
                                    <w:div w:id="1392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int/portar/2007/portaria-128-9-outubro-2007-561471-norma-cd-dg.html" TargetMode="External"/><Relationship Id="rId13" Type="http://schemas.openxmlformats.org/officeDocument/2006/relationships/hyperlink" Target="http://www2.camara.leg.br/legin/int/portar/2018/portaria-168-13-agosto-2018-787115-publicacaooriginal-156294-cd-dg.html" TargetMode="External"/><Relationship Id="rId3" Type="http://schemas.openxmlformats.org/officeDocument/2006/relationships/settings" Target="settings.xml"/><Relationship Id="rId7" Type="http://schemas.openxmlformats.org/officeDocument/2006/relationships/hyperlink" Target="https://www2.camara.leg.br/legin/int/portar/2021/portaria-291-21-dezembro-2021-792161-publicacaooriginal-164222-cd-dileg.html" TargetMode="External"/><Relationship Id="rId12" Type="http://schemas.openxmlformats.org/officeDocument/2006/relationships/hyperlink" Target="http://www2.camara.leg.br/legin/int/portar/2009/portaria-19-13-marco-2009-587230-norma-cd-dg.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2.camara.leg.br/legin/int/portar/2018/portaria-168-13-agosto-2018-787115-publicacaooriginal-156294-cd-dg.html"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2.camara.leg.br/legin/int/portar/2016/portaria-97-6-abril-2016-782860-publicacaooriginal-150058-cd-dg.html" TargetMode="External"/><Relationship Id="rId4" Type="http://schemas.openxmlformats.org/officeDocument/2006/relationships/webSettings" Target="webSettings.xml"/><Relationship Id="rId9" Type="http://schemas.openxmlformats.org/officeDocument/2006/relationships/hyperlink" Target="http://www2.camara.leg.br/legin/int/portar/2008/portaria-39-29-maio-2008-576690-norma-cd-dg.html" TargetMode="External"/><Relationship Id="rId14" Type="http://schemas.openxmlformats.org/officeDocument/2006/relationships/hyperlink" Target="http://www2.camara.leg.br/legin/int/portar/2016/portaria-218-18-outubro-2016-783832-publicacaooriginal-151313-cd-dg.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1092</Words>
  <Characters>5903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6982</CharactersWithSpaces>
  <SharedDoc>false</SharedDoc>
  <HLinks>
    <vt:vector size="48" baseType="variant">
      <vt:variant>
        <vt:i4>1245277</vt:i4>
      </vt:variant>
      <vt:variant>
        <vt:i4>21</vt:i4>
      </vt:variant>
      <vt:variant>
        <vt:i4>0</vt:i4>
      </vt:variant>
      <vt:variant>
        <vt:i4>5</vt:i4>
      </vt:variant>
      <vt:variant>
        <vt:lpwstr>http://www2.camara.leg.br/legin/int/portar/2016/portaria-218-18-outubro-2016-783832-publicacaooriginal-151313-cd-dg.html</vt:lpwstr>
      </vt:variant>
      <vt:variant>
        <vt:lpwstr/>
      </vt:variant>
      <vt:variant>
        <vt:i4>3539071</vt:i4>
      </vt:variant>
      <vt:variant>
        <vt:i4>18</vt:i4>
      </vt:variant>
      <vt:variant>
        <vt:i4>0</vt:i4>
      </vt:variant>
      <vt:variant>
        <vt:i4>5</vt:i4>
      </vt:variant>
      <vt:variant>
        <vt:lpwstr>http://www2.camara.leg.br/legin/int/portar/2018/portaria-168-13-agosto-2018-787115-publicacaooriginal-156294-cd-dg.html</vt:lpwstr>
      </vt:variant>
      <vt:variant>
        <vt:lpwstr/>
      </vt:variant>
      <vt:variant>
        <vt:i4>1507415</vt:i4>
      </vt:variant>
      <vt:variant>
        <vt:i4>15</vt:i4>
      </vt:variant>
      <vt:variant>
        <vt:i4>0</vt:i4>
      </vt:variant>
      <vt:variant>
        <vt:i4>5</vt:i4>
      </vt:variant>
      <vt:variant>
        <vt:lpwstr>http://www2.camara.leg.br/legin/int/portar/2009/portaria-19-13-marco-2009-587230-norma-cd-dg.html</vt:lpwstr>
      </vt:variant>
      <vt:variant>
        <vt:lpwstr/>
      </vt:variant>
      <vt:variant>
        <vt:i4>3539071</vt:i4>
      </vt:variant>
      <vt:variant>
        <vt:i4>12</vt:i4>
      </vt:variant>
      <vt:variant>
        <vt:i4>0</vt:i4>
      </vt:variant>
      <vt:variant>
        <vt:i4>5</vt:i4>
      </vt:variant>
      <vt:variant>
        <vt:lpwstr>http://www2.camara.leg.br/legin/int/portar/2018/portaria-168-13-agosto-2018-787115-publicacaooriginal-156294-cd-dg.html</vt:lpwstr>
      </vt:variant>
      <vt:variant>
        <vt:lpwstr/>
      </vt:variant>
      <vt:variant>
        <vt:i4>4456475</vt:i4>
      </vt:variant>
      <vt:variant>
        <vt:i4>9</vt:i4>
      </vt:variant>
      <vt:variant>
        <vt:i4>0</vt:i4>
      </vt:variant>
      <vt:variant>
        <vt:i4>5</vt:i4>
      </vt:variant>
      <vt:variant>
        <vt:lpwstr>http://www2.camara.leg.br/legin/int/portar/2016/portaria-97-6-abril-2016-782860-publicacaooriginal-150058-cd-dg.html</vt:lpwstr>
      </vt:variant>
      <vt:variant>
        <vt:lpwstr/>
      </vt:variant>
      <vt:variant>
        <vt:i4>262235</vt:i4>
      </vt:variant>
      <vt:variant>
        <vt:i4>6</vt:i4>
      </vt:variant>
      <vt:variant>
        <vt:i4>0</vt:i4>
      </vt:variant>
      <vt:variant>
        <vt:i4>5</vt:i4>
      </vt:variant>
      <vt:variant>
        <vt:lpwstr>http://www2.camara.leg.br/legin/int/portar/2008/portaria-39-29-maio-2008-576690-norma-cd-dg.html</vt:lpwstr>
      </vt:variant>
      <vt:variant>
        <vt:lpwstr/>
      </vt:variant>
      <vt:variant>
        <vt:i4>6750258</vt:i4>
      </vt:variant>
      <vt:variant>
        <vt:i4>3</vt:i4>
      </vt:variant>
      <vt:variant>
        <vt:i4>0</vt:i4>
      </vt:variant>
      <vt:variant>
        <vt:i4>5</vt:i4>
      </vt:variant>
      <vt:variant>
        <vt:lpwstr>http://www2.camara.leg.br/legin/int/portar/2007/portaria-128-9-outubro-2007-561471-norma-cd-dg.html</vt:lpwstr>
      </vt:variant>
      <vt:variant>
        <vt:lpwstr/>
      </vt:variant>
      <vt:variant>
        <vt:i4>5111830</vt:i4>
      </vt:variant>
      <vt:variant>
        <vt:i4>0</vt:i4>
      </vt:variant>
      <vt:variant>
        <vt:i4>0</vt:i4>
      </vt:variant>
      <vt:variant>
        <vt:i4>5</vt:i4>
      </vt:variant>
      <vt:variant>
        <vt:lpwstr>https://www2.camara.leg.br/legin/int/portar/2021/portaria-291-21-dezembro-2021-792161-publicacaooriginal-164222-cd-dileg.html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2008-11-14T19:55:00Z</cp:lastPrinted>
  <dcterms:created xsi:type="dcterms:W3CDTF">2025-11-20T17:42:00Z</dcterms:created>
  <dcterms:modified xsi:type="dcterms:W3CDTF">2025-11-20T17:42:00Z</dcterms:modified>
</cp:coreProperties>
</file>