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425" w:rsidRDefault="00C20425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6" o:title=""/>
            <w10:wrap type="square"/>
          </v:shape>
          <o:OLEObject Type="Embed" ProgID="PBrush" ShapeID="_x0000_s1026" DrawAspect="Content" ObjectID="_1825154812" r:id="rId7"/>
        </w:obje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C038C8" w:rsidRDefault="00C038C8" w:rsidP="00C038C8">
      <w:pPr>
        <w:pStyle w:val="Cabealho"/>
        <w:jc w:val="both"/>
        <w:rPr>
          <w:sz w:val="24"/>
          <w:szCs w:val="24"/>
        </w:rPr>
      </w:pPr>
    </w:p>
    <w:p w:rsidR="006F73B5" w:rsidRPr="004156A1" w:rsidRDefault="006F73B5" w:rsidP="004156A1">
      <w:pPr>
        <w:pStyle w:val="Cabealho"/>
        <w:jc w:val="center"/>
        <w:rPr>
          <w:b/>
          <w:sz w:val="28"/>
          <w:szCs w:val="28"/>
        </w:rPr>
      </w:pPr>
      <w:r w:rsidRPr="004156A1">
        <w:rPr>
          <w:b/>
          <w:sz w:val="28"/>
          <w:szCs w:val="28"/>
        </w:rPr>
        <w:t>INSTRUÇÃO Nº 1, DE 21/05/2012</w:t>
      </w:r>
    </w:p>
    <w:p w:rsidR="006F73B5" w:rsidRPr="006F73B5" w:rsidRDefault="006F73B5" w:rsidP="006F73B5">
      <w:pPr>
        <w:pStyle w:val="Cabealho"/>
        <w:jc w:val="both"/>
        <w:rPr>
          <w:sz w:val="24"/>
          <w:szCs w:val="24"/>
        </w:rPr>
      </w:pPr>
    </w:p>
    <w:p w:rsidR="006F73B5" w:rsidRPr="006F73B5" w:rsidRDefault="006F73B5" w:rsidP="006F73B5">
      <w:pPr>
        <w:pStyle w:val="Cabealho"/>
        <w:jc w:val="both"/>
        <w:rPr>
          <w:sz w:val="24"/>
          <w:szCs w:val="24"/>
        </w:rPr>
      </w:pPr>
    </w:p>
    <w:p w:rsidR="006F73B5" w:rsidRPr="006F73B5" w:rsidRDefault="006F73B5" w:rsidP="004156A1">
      <w:pPr>
        <w:pStyle w:val="Cabealho"/>
        <w:ind w:left="4536"/>
        <w:jc w:val="both"/>
        <w:rPr>
          <w:sz w:val="24"/>
          <w:szCs w:val="24"/>
        </w:rPr>
      </w:pPr>
      <w:r w:rsidRPr="006F73B5">
        <w:rPr>
          <w:sz w:val="24"/>
          <w:szCs w:val="24"/>
        </w:rPr>
        <w:t xml:space="preserve">Institui processo organizacional para gerenciamento de incidentes de serviços de Tecnologia da Informação e Comunicação no domínio das atribuições e responsabilidades do Centro de Informática. </w:t>
      </w:r>
    </w:p>
    <w:p w:rsidR="006F73B5" w:rsidRPr="006F73B5" w:rsidRDefault="006F73B5" w:rsidP="006F73B5">
      <w:pPr>
        <w:pStyle w:val="Cabealho"/>
        <w:jc w:val="both"/>
        <w:rPr>
          <w:sz w:val="24"/>
          <w:szCs w:val="24"/>
        </w:rPr>
      </w:pPr>
    </w:p>
    <w:p w:rsidR="006F73B5" w:rsidRPr="006F73B5" w:rsidRDefault="006F73B5" w:rsidP="006F73B5">
      <w:pPr>
        <w:pStyle w:val="Cabealho"/>
        <w:jc w:val="both"/>
        <w:rPr>
          <w:sz w:val="24"/>
          <w:szCs w:val="24"/>
        </w:rPr>
      </w:pPr>
    </w:p>
    <w:p w:rsidR="006F73B5" w:rsidRPr="006F73B5" w:rsidRDefault="006F73B5" w:rsidP="004156A1">
      <w:pPr>
        <w:pStyle w:val="Cabealho"/>
        <w:ind w:firstLine="1134"/>
        <w:jc w:val="both"/>
        <w:rPr>
          <w:sz w:val="24"/>
          <w:szCs w:val="24"/>
        </w:rPr>
      </w:pPr>
      <w:r w:rsidRPr="006F73B5">
        <w:rPr>
          <w:sz w:val="24"/>
          <w:szCs w:val="24"/>
        </w:rPr>
        <w:t xml:space="preserve">O DIRETOR DO CENTRO DE INFORMÁTICA, no uso das atribuições que lhe conferem o art. 2º, da Resolução da Câmara dos Deputados nº 16, de 21 de janeiro de 1997, combinado com os incisos I, II e IV, todos do art. 253 da Resolução da Câmara dos Deputados nº 20, de 30 de novembro de 1971, </w:t>
      </w:r>
    </w:p>
    <w:p w:rsidR="0054029F" w:rsidRDefault="0054029F" w:rsidP="004156A1">
      <w:pPr>
        <w:pStyle w:val="Cabealho"/>
        <w:ind w:firstLine="1134"/>
        <w:jc w:val="both"/>
        <w:rPr>
          <w:sz w:val="24"/>
          <w:szCs w:val="24"/>
        </w:rPr>
      </w:pPr>
    </w:p>
    <w:p w:rsidR="006F73B5" w:rsidRPr="006F73B5" w:rsidRDefault="006F73B5" w:rsidP="004156A1">
      <w:pPr>
        <w:pStyle w:val="Cabealho"/>
        <w:ind w:firstLine="1134"/>
        <w:jc w:val="both"/>
        <w:rPr>
          <w:sz w:val="24"/>
          <w:szCs w:val="24"/>
        </w:rPr>
      </w:pPr>
      <w:r w:rsidRPr="006F73B5">
        <w:rPr>
          <w:sz w:val="24"/>
          <w:szCs w:val="24"/>
        </w:rPr>
        <w:t xml:space="preserve">Considerando que a formalização de processos de trabalho colabora para a melhoria da qualidade dos produtos e serviços do domínio da Tecnologia da Informação e Comunicação (TIC); </w:t>
      </w:r>
    </w:p>
    <w:p w:rsidR="0054029F" w:rsidRDefault="0054029F" w:rsidP="004156A1">
      <w:pPr>
        <w:pStyle w:val="Cabealho"/>
        <w:ind w:firstLine="1134"/>
        <w:jc w:val="both"/>
        <w:rPr>
          <w:sz w:val="24"/>
          <w:szCs w:val="24"/>
        </w:rPr>
      </w:pPr>
    </w:p>
    <w:p w:rsidR="006F73B5" w:rsidRPr="006F73B5" w:rsidRDefault="006F73B5" w:rsidP="004156A1">
      <w:pPr>
        <w:pStyle w:val="Cabealho"/>
        <w:ind w:firstLine="1134"/>
        <w:jc w:val="both"/>
        <w:rPr>
          <w:sz w:val="24"/>
          <w:szCs w:val="24"/>
        </w:rPr>
      </w:pPr>
      <w:r w:rsidRPr="006F73B5">
        <w:rPr>
          <w:sz w:val="24"/>
          <w:szCs w:val="24"/>
        </w:rPr>
        <w:t xml:space="preserve">Considerando que a formalização de processos de trabalho igualmente colabora para aumento da eficiência e, desse modo, concorre para a obediência ao respectivo mandamento insculpido no </w:t>
      </w:r>
      <w:r w:rsidRPr="006053C1">
        <w:rPr>
          <w:i/>
          <w:sz w:val="24"/>
          <w:szCs w:val="24"/>
        </w:rPr>
        <w:t>caput</w:t>
      </w:r>
      <w:r w:rsidRPr="006F73B5">
        <w:rPr>
          <w:sz w:val="24"/>
          <w:szCs w:val="24"/>
        </w:rPr>
        <w:t xml:space="preserve"> do art. 37 da Constituição da República;</w:t>
      </w:r>
    </w:p>
    <w:p w:rsidR="0054029F" w:rsidRDefault="0054029F" w:rsidP="004156A1">
      <w:pPr>
        <w:pStyle w:val="Cabealho"/>
        <w:ind w:firstLine="1134"/>
        <w:jc w:val="both"/>
        <w:rPr>
          <w:sz w:val="24"/>
          <w:szCs w:val="24"/>
        </w:rPr>
      </w:pPr>
    </w:p>
    <w:p w:rsidR="006F73B5" w:rsidRPr="006F73B5" w:rsidRDefault="006F73B5" w:rsidP="004156A1">
      <w:pPr>
        <w:pStyle w:val="Cabealho"/>
        <w:ind w:firstLine="1134"/>
        <w:jc w:val="both"/>
        <w:rPr>
          <w:sz w:val="24"/>
          <w:szCs w:val="24"/>
        </w:rPr>
      </w:pPr>
      <w:r w:rsidRPr="006F73B5">
        <w:rPr>
          <w:sz w:val="24"/>
          <w:szCs w:val="24"/>
        </w:rPr>
        <w:t xml:space="preserve">Considerando que a institucionalização de processos de trabalho fortalece a obediência dos princípios fundamentais de planejamento, coordenação e controle, respectivamente impostos pelos incisos I, II e V do art. 6º do Decreto-Lei nº 200, de 25 de fevereiro de 1967; </w:t>
      </w:r>
    </w:p>
    <w:p w:rsidR="0054029F" w:rsidRDefault="0054029F" w:rsidP="004156A1">
      <w:pPr>
        <w:pStyle w:val="Cabealho"/>
        <w:ind w:firstLine="1134"/>
        <w:jc w:val="both"/>
        <w:rPr>
          <w:sz w:val="24"/>
          <w:szCs w:val="24"/>
        </w:rPr>
      </w:pPr>
    </w:p>
    <w:p w:rsidR="006F73B5" w:rsidRPr="006F73B5" w:rsidRDefault="006F73B5" w:rsidP="004156A1">
      <w:pPr>
        <w:pStyle w:val="Cabealho"/>
        <w:ind w:firstLine="1134"/>
        <w:jc w:val="both"/>
        <w:rPr>
          <w:sz w:val="24"/>
          <w:szCs w:val="24"/>
        </w:rPr>
      </w:pPr>
      <w:r w:rsidRPr="006F73B5">
        <w:rPr>
          <w:sz w:val="24"/>
          <w:szCs w:val="24"/>
        </w:rPr>
        <w:t xml:space="preserve">Considerando que a institucionalização de processos de trabalho possibilita ao Centro de Informática desobrigar-se da execução material de tarefas executivas, recorrendo, quando julgar conveniente e oportuno, mediante contrato, à iniciativa privada suficientemente desenvolvida e capacitada a desempenhar os encargos de sua execução, nos temos do § 7º do art. 10 do Decreto-Lei nº 200, de 25 de fevereiro de 1967; e </w:t>
      </w:r>
    </w:p>
    <w:p w:rsidR="0054029F" w:rsidRDefault="0054029F" w:rsidP="004156A1">
      <w:pPr>
        <w:pStyle w:val="Cabealho"/>
        <w:ind w:firstLine="1134"/>
        <w:jc w:val="both"/>
        <w:rPr>
          <w:sz w:val="24"/>
          <w:szCs w:val="24"/>
        </w:rPr>
      </w:pPr>
    </w:p>
    <w:p w:rsidR="006053C1" w:rsidRDefault="006F73B5" w:rsidP="004156A1">
      <w:pPr>
        <w:pStyle w:val="Cabealho"/>
        <w:ind w:firstLine="1134"/>
        <w:jc w:val="both"/>
        <w:rPr>
          <w:sz w:val="24"/>
          <w:szCs w:val="24"/>
        </w:rPr>
      </w:pPr>
      <w:r w:rsidRPr="006F73B5">
        <w:rPr>
          <w:sz w:val="24"/>
          <w:szCs w:val="24"/>
        </w:rPr>
        <w:t>Considerando recomendação própria, exarada pelo Controle Externo no item 9.1.9 do Acórdão nº 758 de 2011; do Plenário do Tribunal de Contas da União,</w:t>
      </w:r>
    </w:p>
    <w:p w:rsidR="006053C1" w:rsidRDefault="006053C1" w:rsidP="004156A1">
      <w:pPr>
        <w:pStyle w:val="Cabealho"/>
        <w:ind w:firstLine="1134"/>
        <w:jc w:val="both"/>
        <w:rPr>
          <w:sz w:val="24"/>
          <w:szCs w:val="24"/>
        </w:rPr>
      </w:pPr>
    </w:p>
    <w:p w:rsidR="006F73B5" w:rsidRPr="006F73B5" w:rsidRDefault="006F73B5" w:rsidP="004156A1">
      <w:pPr>
        <w:pStyle w:val="Cabealho"/>
        <w:ind w:firstLine="1134"/>
        <w:jc w:val="both"/>
        <w:rPr>
          <w:sz w:val="24"/>
          <w:szCs w:val="24"/>
        </w:rPr>
      </w:pPr>
      <w:r w:rsidRPr="006F73B5">
        <w:rPr>
          <w:sz w:val="24"/>
          <w:szCs w:val="24"/>
        </w:rPr>
        <w:t xml:space="preserve">RESOLVE: </w:t>
      </w:r>
    </w:p>
    <w:p w:rsidR="006F73B5" w:rsidRPr="006F73B5" w:rsidRDefault="006F73B5" w:rsidP="004156A1">
      <w:pPr>
        <w:pStyle w:val="Cabealho"/>
        <w:ind w:firstLine="1134"/>
        <w:jc w:val="both"/>
        <w:rPr>
          <w:sz w:val="24"/>
          <w:szCs w:val="24"/>
        </w:rPr>
      </w:pPr>
    </w:p>
    <w:p w:rsidR="006F73B5" w:rsidRPr="006F73B5" w:rsidRDefault="006F73B5" w:rsidP="004156A1">
      <w:pPr>
        <w:pStyle w:val="Cabealho"/>
        <w:ind w:firstLine="1134"/>
        <w:jc w:val="both"/>
        <w:rPr>
          <w:sz w:val="24"/>
          <w:szCs w:val="24"/>
        </w:rPr>
      </w:pPr>
      <w:r w:rsidRPr="006F73B5">
        <w:rPr>
          <w:sz w:val="24"/>
          <w:szCs w:val="24"/>
        </w:rPr>
        <w:lastRenderedPageBreak/>
        <w:t xml:space="preserve">Art. 1º Fica instituído o processo de gerenciamento de incidentes de serviços de TIC no domínio das atribuições e responsabilidades do Centro de Informática da Câmara dos Deputados. </w:t>
      </w:r>
    </w:p>
    <w:p w:rsidR="006F73B5" w:rsidRPr="006F73B5" w:rsidRDefault="006F73B5" w:rsidP="004156A1">
      <w:pPr>
        <w:pStyle w:val="Cabealho"/>
        <w:ind w:firstLine="1134"/>
        <w:jc w:val="both"/>
        <w:rPr>
          <w:sz w:val="24"/>
          <w:szCs w:val="24"/>
        </w:rPr>
      </w:pPr>
      <w:r w:rsidRPr="006F73B5">
        <w:rPr>
          <w:sz w:val="24"/>
          <w:szCs w:val="24"/>
        </w:rPr>
        <w:t xml:space="preserve">§ 1º O Centro de Informática publicará e manterá atualizado catálogo dos serviços que serão atendidos pelo processo. </w:t>
      </w:r>
    </w:p>
    <w:p w:rsidR="006F73B5" w:rsidRPr="006F73B5" w:rsidRDefault="006F73B5" w:rsidP="004156A1">
      <w:pPr>
        <w:pStyle w:val="Cabealho"/>
        <w:ind w:firstLine="1134"/>
        <w:jc w:val="both"/>
        <w:rPr>
          <w:sz w:val="24"/>
          <w:szCs w:val="24"/>
        </w:rPr>
      </w:pPr>
    </w:p>
    <w:p w:rsidR="006F73B5" w:rsidRPr="006F73B5" w:rsidRDefault="006F73B5" w:rsidP="004156A1">
      <w:pPr>
        <w:pStyle w:val="Cabealho"/>
        <w:ind w:firstLine="1134"/>
        <w:jc w:val="both"/>
        <w:rPr>
          <w:sz w:val="24"/>
          <w:szCs w:val="24"/>
        </w:rPr>
      </w:pPr>
      <w:r w:rsidRPr="006F73B5">
        <w:rPr>
          <w:sz w:val="24"/>
          <w:szCs w:val="24"/>
        </w:rPr>
        <w:t xml:space="preserve">Art. 2º Para os fins desta Instrução, entende-se como: </w:t>
      </w:r>
    </w:p>
    <w:p w:rsidR="006F73B5" w:rsidRPr="006F73B5" w:rsidRDefault="006F73B5" w:rsidP="004156A1">
      <w:pPr>
        <w:pStyle w:val="Cabealho"/>
        <w:ind w:firstLine="1134"/>
        <w:jc w:val="both"/>
        <w:rPr>
          <w:sz w:val="24"/>
          <w:szCs w:val="24"/>
        </w:rPr>
      </w:pPr>
      <w:r w:rsidRPr="006F73B5">
        <w:rPr>
          <w:sz w:val="24"/>
          <w:szCs w:val="24"/>
        </w:rPr>
        <w:t xml:space="preserve">I - Serviço de TIC: um conjunto de recursos, processos, pessoas, sistemas e infraestrutura de TIC, mantidos pelo Centro de Informática, cujo objetivo é suportar um ou mais processos de trabalho; </w:t>
      </w:r>
    </w:p>
    <w:p w:rsidR="006F73B5" w:rsidRPr="006F73B5" w:rsidRDefault="006F73B5" w:rsidP="004156A1">
      <w:pPr>
        <w:pStyle w:val="Cabealho"/>
        <w:ind w:firstLine="1134"/>
        <w:jc w:val="both"/>
        <w:rPr>
          <w:sz w:val="24"/>
          <w:szCs w:val="24"/>
        </w:rPr>
      </w:pPr>
      <w:r w:rsidRPr="006F73B5">
        <w:rPr>
          <w:sz w:val="24"/>
          <w:szCs w:val="24"/>
        </w:rPr>
        <w:t xml:space="preserve">II - Incidente: toda interrupção ou ameaça de interrupção da disponibilidade de um Serviço de TIC. </w:t>
      </w:r>
    </w:p>
    <w:p w:rsidR="006F73B5" w:rsidRPr="006F73B5" w:rsidRDefault="006F73B5" w:rsidP="004156A1">
      <w:pPr>
        <w:pStyle w:val="Cabealho"/>
        <w:ind w:firstLine="1134"/>
        <w:jc w:val="both"/>
        <w:rPr>
          <w:sz w:val="24"/>
          <w:szCs w:val="24"/>
        </w:rPr>
      </w:pPr>
      <w:r w:rsidRPr="006F73B5">
        <w:rPr>
          <w:sz w:val="24"/>
          <w:szCs w:val="24"/>
        </w:rPr>
        <w:t xml:space="preserve">III - Requisição de serviço: solicitação atendida rotineiramente pelo Centro de Informática, com fluxo certo e definido, pré-aprovada por padrão e prevista no catálogo de serviços. </w:t>
      </w:r>
    </w:p>
    <w:p w:rsidR="006F73B5" w:rsidRPr="006F73B5" w:rsidRDefault="006F73B5" w:rsidP="004156A1">
      <w:pPr>
        <w:pStyle w:val="Cabealho"/>
        <w:ind w:firstLine="1134"/>
        <w:jc w:val="both"/>
        <w:rPr>
          <w:sz w:val="24"/>
          <w:szCs w:val="24"/>
        </w:rPr>
      </w:pPr>
      <w:r w:rsidRPr="006F73B5">
        <w:rPr>
          <w:sz w:val="24"/>
          <w:szCs w:val="24"/>
        </w:rPr>
        <w:t xml:space="preserve">IV - Central de Atendimento: ponto único de contato do Centro de Informática com os demais usuários e principal área responsável pelo registro, tratamento e acompanhamento de incidentes e requisições de serviço. </w:t>
      </w:r>
    </w:p>
    <w:p w:rsidR="00DF2289" w:rsidRPr="00DF2289" w:rsidRDefault="00DF2289" w:rsidP="00DF2289">
      <w:pPr>
        <w:pStyle w:val="Cabealho"/>
        <w:ind w:firstLine="1134"/>
        <w:jc w:val="both"/>
        <w:rPr>
          <w:i/>
          <w:color w:val="FF0000"/>
          <w:sz w:val="24"/>
          <w:szCs w:val="24"/>
        </w:rPr>
      </w:pPr>
      <w:r w:rsidRPr="00DF2289">
        <w:rPr>
          <w:sz w:val="24"/>
          <w:szCs w:val="24"/>
        </w:rPr>
        <w:t>V - Escritório de Processo: papel responsável por zelar pela integração do processo com outros processos organizacionais da Casa.</w:t>
      </w:r>
      <w:r>
        <w:rPr>
          <w:sz w:val="24"/>
          <w:szCs w:val="24"/>
        </w:rPr>
        <w:t xml:space="preserve"> </w:t>
      </w:r>
      <w:hyperlink r:id="rId8" w:history="1">
        <w:r w:rsidR="006C5BCA" w:rsidRPr="00D47AA3">
          <w:rPr>
            <w:rStyle w:val="Hyperlink"/>
            <w:i/>
            <w:sz w:val="24"/>
            <w:szCs w:val="24"/>
          </w:rPr>
          <w:t xml:space="preserve">(Inciso com redação dada pela Instrução nº 1, de </w:t>
        </w:r>
        <w:r w:rsidR="00D47AA3" w:rsidRPr="00D47AA3">
          <w:rPr>
            <w:rStyle w:val="Hyperlink"/>
            <w:i/>
            <w:sz w:val="24"/>
            <w:szCs w:val="24"/>
          </w:rPr>
          <w:t>31/3/</w:t>
        </w:r>
        <w:r w:rsidR="006C5BCA" w:rsidRPr="00D47AA3">
          <w:rPr>
            <w:rStyle w:val="Hyperlink"/>
            <w:i/>
            <w:sz w:val="24"/>
            <w:szCs w:val="24"/>
          </w:rPr>
          <w:t>2014)</w:t>
        </w:r>
      </w:hyperlink>
    </w:p>
    <w:p w:rsidR="006F73B5" w:rsidRPr="006F73B5" w:rsidRDefault="00DF2289" w:rsidP="00DF2289">
      <w:pPr>
        <w:pStyle w:val="Cabealho"/>
        <w:ind w:firstLine="1134"/>
        <w:jc w:val="both"/>
        <w:rPr>
          <w:sz w:val="24"/>
          <w:szCs w:val="24"/>
        </w:rPr>
      </w:pPr>
      <w:r w:rsidRPr="00DF2289">
        <w:rPr>
          <w:sz w:val="24"/>
          <w:szCs w:val="24"/>
        </w:rPr>
        <w:t>VI - Gerente do processo: papel responsável pela gestão, pela melhoria contínua e pelo acompanhamento da execução do processo</w:t>
      </w:r>
      <w:r>
        <w:rPr>
          <w:sz w:val="24"/>
          <w:szCs w:val="24"/>
        </w:rPr>
        <w:t>.</w:t>
      </w:r>
      <w:r w:rsidR="006F73B5" w:rsidRPr="006F73B5">
        <w:rPr>
          <w:sz w:val="24"/>
          <w:szCs w:val="24"/>
        </w:rPr>
        <w:t xml:space="preserve"> </w:t>
      </w:r>
      <w:hyperlink r:id="rId9" w:history="1">
        <w:r w:rsidR="006C5BCA" w:rsidRPr="00D47AA3">
          <w:rPr>
            <w:rStyle w:val="Hyperlink"/>
            <w:i/>
            <w:sz w:val="24"/>
            <w:szCs w:val="24"/>
          </w:rPr>
          <w:t xml:space="preserve">(Inciso com redação dada pela Instrução nº 1, de </w:t>
        </w:r>
        <w:r w:rsidR="00D47AA3" w:rsidRPr="00D47AA3">
          <w:rPr>
            <w:rStyle w:val="Hyperlink"/>
            <w:i/>
            <w:sz w:val="24"/>
            <w:szCs w:val="24"/>
          </w:rPr>
          <w:t>31/3/</w:t>
        </w:r>
        <w:r w:rsidR="006C5BCA" w:rsidRPr="00D47AA3">
          <w:rPr>
            <w:rStyle w:val="Hyperlink"/>
            <w:i/>
            <w:sz w:val="24"/>
            <w:szCs w:val="24"/>
          </w:rPr>
          <w:t>2014)</w:t>
        </w:r>
      </w:hyperlink>
    </w:p>
    <w:p w:rsidR="006F73B5" w:rsidRPr="006F73B5" w:rsidRDefault="006F73B5" w:rsidP="004156A1">
      <w:pPr>
        <w:pStyle w:val="Cabealho"/>
        <w:ind w:firstLine="1134"/>
        <w:jc w:val="both"/>
        <w:rPr>
          <w:sz w:val="24"/>
          <w:szCs w:val="24"/>
        </w:rPr>
      </w:pPr>
    </w:p>
    <w:p w:rsidR="006F73B5" w:rsidRPr="006F73B5" w:rsidRDefault="006F73B5" w:rsidP="004156A1">
      <w:pPr>
        <w:pStyle w:val="Cabealho"/>
        <w:ind w:firstLine="1134"/>
        <w:jc w:val="both"/>
        <w:rPr>
          <w:sz w:val="24"/>
          <w:szCs w:val="24"/>
        </w:rPr>
      </w:pPr>
      <w:r w:rsidRPr="006F73B5">
        <w:rPr>
          <w:sz w:val="24"/>
          <w:szCs w:val="24"/>
        </w:rPr>
        <w:t xml:space="preserve">Art. 3º O objetivo do processo de gerenciamento de incidentes é, em caso de interrupção, restaurar a operação normal do serviço o mais rápido possível, minimizando os prejuízos aos trabalhos da Casa, bem como atender às requisições de serviço. </w:t>
      </w:r>
    </w:p>
    <w:p w:rsidR="006F73B5" w:rsidRPr="006F73B5" w:rsidRDefault="006F73B5" w:rsidP="004156A1">
      <w:pPr>
        <w:pStyle w:val="Cabealho"/>
        <w:ind w:firstLine="1134"/>
        <w:jc w:val="both"/>
        <w:rPr>
          <w:sz w:val="24"/>
          <w:szCs w:val="24"/>
        </w:rPr>
      </w:pPr>
      <w:r w:rsidRPr="006F73B5">
        <w:rPr>
          <w:sz w:val="24"/>
          <w:szCs w:val="24"/>
        </w:rPr>
        <w:t xml:space="preserve">Parágrafo único. Em regra, o tratamento dos incidentes terá precedência sobre a execução das requisições de serviço e demais atividades e projetos em curso no Centro de Informática. </w:t>
      </w:r>
    </w:p>
    <w:p w:rsidR="006F73B5" w:rsidRPr="006F73B5" w:rsidRDefault="006F73B5" w:rsidP="004156A1">
      <w:pPr>
        <w:pStyle w:val="Cabealho"/>
        <w:ind w:firstLine="1134"/>
        <w:jc w:val="both"/>
        <w:rPr>
          <w:sz w:val="24"/>
          <w:szCs w:val="24"/>
        </w:rPr>
      </w:pPr>
    </w:p>
    <w:p w:rsidR="006F73B5" w:rsidRPr="006F73B5" w:rsidRDefault="006F73B5" w:rsidP="004156A1">
      <w:pPr>
        <w:pStyle w:val="Cabealho"/>
        <w:ind w:firstLine="1134"/>
        <w:jc w:val="both"/>
        <w:rPr>
          <w:sz w:val="24"/>
          <w:szCs w:val="24"/>
        </w:rPr>
      </w:pPr>
      <w:r w:rsidRPr="006F73B5">
        <w:rPr>
          <w:sz w:val="24"/>
          <w:szCs w:val="24"/>
        </w:rPr>
        <w:t xml:space="preserve">Art. 4º O processo de gerenciamento de incidentes obedecerá, no que couber, as recomendações, determinações e disposições elencadas nas normas técnicas brasileiras, especialmente as do domínio da Tecnologia da Informação e Comunicações, além das boas práticas de mercado e dos modelos de referência, especialmente aqueles que melhor se adaptam às necessidades e características da infraestrutura e dos serviços de TIC prestados à Câmara dos Deputados. </w:t>
      </w:r>
    </w:p>
    <w:p w:rsidR="006F73B5" w:rsidRPr="006F73B5" w:rsidRDefault="006F73B5" w:rsidP="004156A1">
      <w:pPr>
        <w:pStyle w:val="Cabealho"/>
        <w:ind w:firstLine="1134"/>
        <w:jc w:val="both"/>
        <w:rPr>
          <w:sz w:val="24"/>
          <w:szCs w:val="24"/>
        </w:rPr>
      </w:pPr>
      <w:r w:rsidRPr="006F73B5">
        <w:rPr>
          <w:sz w:val="24"/>
          <w:szCs w:val="24"/>
        </w:rPr>
        <w:t xml:space="preserve">Parágrafo único. O atendimento dos incidentes e requisições de serviço obedecerá, no que couber, os acordos vigentes entre o Centro de Informática e as demais unidades administrativas da Casa. </w:t>
      </w:r>
    </w:p>
    <w:p w:rsidR="006F73B5" w:rsidRPr="006F73B5" w:rsidRDefault="006F73B5" w:rsidP="004156A1">
      <w:pPr>
        <w:pStyle w:val="Cabealho"/>
        <w:ind w:firstLine="1134"/>
        <w:jc w:val="both"/>
        <w:rPr>
          <w:sz w:val="24"/>
          <w:szCs w:val="24"/>
        </w:rPr>
      </w:pPr>
    </w:p>
    <w:p w:rsidR="00D47AA3" w:rsidRPr="00D47AA3" w:rsidRDefault="00D47AA3" w:rsidP="00D47AA3">
      <w:pPr>
        <w:pStyle w:val="Cabealho"/>
        <w:ind w:firstLine="1134"/>
        <w:jc w:val="both"/>
        <w:rPr>
          <w:sz w:val="24"/>
          <w:szCs w:val="24"/>
        </w:rPr>
      </w:pPr>
      <w:r w:rsidRPr="00D47AA3">
        <w:rPr>
          <w:sz w:val="24"/>
          <w:szCs w:val="24"/>
        </w:rPr>
        <w:t xml:space="preserve">Art. 5º O processo de gerenciamento de incidentes será coordenado por um gerente. </w:t>
      </w:r>
      <w:hyperlink r:id="rId10" w:history="1">
        <w:r w:rsidRPr="00D47AA3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“Caput” do artigo</w:t>
        </w:r>
        <w:r w:rsidRPr="00D47AA3">
          <w:rPr>
            <w:rStyle w:val="Hyperlink"/>
            <w:i/>
            <w:sz w:val="24"/>
            <w:szCs w:val="24"/>
          </w:rPr>
          <w:t xml:space="preserve"> com redação dada pela Instrução nº 1, de 31/3/2014)</w:t>
        </w:r>
      </w:hyperlink>
    </w:p>
    <w:p w:rsidR="00D47AA3" w:rsidRDefault="00D47AA3" w:rsidP="00D47AA3">
      <w:pPr>
        <w:pStyle w:val="Cabealho"/>
        <w:ind w:firstLine="1134"/>
        <w:jc w:val="both"/>
        <w:rPr>
          <w:sz w:val="24"/>
          <w:szCs w:val="24"/>
        </w:rPr>
      </w:pPr>
      <w:r w:rsidRPr="00D47AA3">
        <w:rPr>
          <w:sz w:val="24"/>
          <w:szCs w:val="24"/>
        </w:rPr>
        <w:t>Parágrafo único. Ordem de Serviço do Centro de Informática designará o gerente do processo.</w:t>
      </w:r>
      <w:r>
        <w:rPr>
          <w:sz w:val="24"/>
          <w:szCs w:val="24"/>
        </w:rPr>
        <w:t xml:space="preserve"> </w:t>
      </w:r>
      <w:hyperlink r:id="rId11" w:history="1">
        <w:r w:rsidRPr="00D47AA3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Parágrafo único</w:t>
        </w:r>
        <w:r w:rsidRPr="00D47AA3">
          <w:rPr>
            <w:rStyle w:val="Hyperlink"/>
            <w:i/>
            <w:sz w:val="24"/>
            <w:szCs w:val="24"/>
          </w:rPr>
          <w:t xml:space="preserve"> com redação dada pela Instrução nº 1, de 31/3/2014)</w:t>
        </w:r>
      </w:hyperlink>
    </w:p>
    <w:p w:rsidR="00D47AA3" w:rsidRDefault="00D47AA3" w:rsidP="004156A1">
      <w:pPr>
        <w:pStyle w:val="Cabealho"/>
        <w:ind w:firstLine="1134"/>
        <w:jc w:val="both"/>
        <w:rPr>
          <w:sz w:val="24"/>
          <w:szCs w:val="24"/>
        </w:rPr>
      </w:pPr>
    </w:p>
    <w:p w:rsidR="0042059C" w:rsidRPr="0042059C" w:rsidRDefault="0042059C" w:rsidP="0042059C">
      <w:pPr>
        <w:pStyle w:val="Cabealho"/>
        <w:ind w:firstLine="1134"/>
        <w:jc w:val="both"/>
        <w:rPr>
          <w:sz w:val="24"/>
          <w:szCs w:val="24"/>
        </w:rPr>
      </w:pPr>
      <w:r w:rsidRPr="0042059C">
        <w:rPr>
          <w:sz w:val="24"/>
          <w:szCs w:val="24"/>
        </w:rPr>
        <w:lastRenderedPageBreak/>
        <w:t>Art. 6º Compete ao Escritório de Processos do Cenin:</w:t>
      </w:r>
      <w:r>
        <w:rPr>
          <w:sz w:val="24"/>
          <w:szCs w:val="24"/>
        </w:rPr>
        <w:t xml:space="preserve"> </w:t>
      </w:r>
      <w:hyperlink r:id="rId12" w:history="1">
        <w:r w:rsidRPr="00D47AA3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“Caput” do artigo</w:t>
        </w:r>
        <w:r w:rsidRPr="00D47AA3">
          <w:rPr>
            <w:rStyle w:val="Hyperlink"/>
            <w:i/>
            <w:sz w:val="24"/>
            <w:szCs w:val="24"/>
          </w:rPr>
          <w:t xml:space="preserve"> com redação dada pela Instrução nº 1, de 31/3/2014)</w:t>
        </w:r>
      </w:hyperlink>
    </w:p>
    <w:p w:rsidR="0042059C" w:rsidRPr="0042059C" w:rsidRDefault="0042059C" w:rsidP="0042059C">
      <w:pPr>
        <w:pStyle w:val="Cabealho"/>
        <w:ind w:firstLine="1134"/>
        <w:jc w:val="both"/>
        <w:rPr>
          <w:sz w:val="24"/>
          <w:szCs w:val="24"/>
        </w:rPr>
      </w:pPr>
      <w:r w:rsidRPr="0042059C">
        <w:rPr>
          <w:sz w:val="24"/>
          <w:szCs w:val="24"/>
        </w:rPr>
        <w:t>I - Zelar para que o processo mantenha integração e harmonia com os processos organizacionais da Casa;</w:t>
      </w:r>
      <w:r>
        <w:rPr>
          <w:sz w:val="24"/>
          <w:szCs w:val="24"/>
        </w:rPr>
        <w:t xml:space="preserve"> </w:t>
      </w:r>
      <w:hyperlink r:id="rId13" w:history="1">
        <w:r w:rsidRPr="00D47AA3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Inciso</w:t>
        </w:r>
        <w:r w:rsidRPr="00D47AA3">
          <w:rPr>
            <w:rStyle w:val="Hyperlink"/>
            <w:i/>
            <w:sz w:val="24"/>
            <w:szCs w:val="24"/>
          </w:rPr>
          <w:t xml:space="preserve"> com redação dada pela Instrução nº 1, de 31/3/2014)</w:t>
        </w:r>
      </w:hyperlink>
    </w:p>
    <w:p w:rsidR="0042059C" w:rsidRDefault="0042059C" w:rsidP="0042059C">
      <w:pPr>
        <w:pStyle w:val="Cabealho"/>
        <w:ind w:firstLine="1134"/>
        <w:jc w:val="both"/>
        <w:rPr>
          <w:sz w:val="24"/>
          <w:szCs w:val="24"/>
        </w:rPr>
      </w:pPr>
      <w:r w:rsidRPr="0042059C">
        <w:rPr>
          <w:sz w:val="24"/>
          <w:szCs w:val="24"/>
        </w:rPr>
        <w:t>II - Apresentar periodicamente ao Diretor do Centro de Informática as informações gerenciais e o resultado consolidado dos indicadores de desempenho apurados</w:t>
      </w:r>
      <w:r>
        <w:rPr>
          <w:sz w:val="24"/>
          <w:szCs w:val="24"/>
        </w:rPr>
        <w:t>.</w:t>
      </w:r>
      <w:r w:rsidR="00A013F8">
        <w:rPr>
          <w:sz w:val="24"/>
          <w:szCs w:val="24"/>
        </w:rPr>
        <w:t xml:space="preserve"> </w:t>
      </w:r>
      <w:hyperlink r:id="rId14" w:history="1">
        <w:r w:rsidR="00A013F8" w:rsidRPr="00D47AA3">
          <w:rPr>
            <w:rStyle w:val="Hyperlink"/>
            <w:i/>
            <w:sz w:val="24"/>
            <w:szCs w:val="24"/>
          </w:rPr>
          <w:t>(</w:t>
        </w:r>
        <w:r w:rsidR="00A013F8">
          <w:rPr>
            <w:rStyle w:val="Hyperlink"/>
            <w:i/>
            <w:sz w:val="24"/>
            <w:szCs w:val="24"/>
          </w:rPr>
          <w:t>Inciso</w:t>
        </w:r>
        <w:r w:rsidR="00A013F8" w:rsidRPr="00D47AA3">
          <w:rPr>
            <w:rStyle w:val="Hyperlink"/>
            <w:i/>
            <w:sz w:val="24"/>
            <w:szCs w:val="24"/>
          </w:rPr>
          <w:t xml:space="preserve"> com redação dada pela Instrução nº 1, de 31/3/2014)</w:t>
        </w:r>
      </w:hyperlink>
    </w:p>
    <w:p w:rsidR="006F73B5" w:rsidRPr="006F73B5" w:rsidRDefault="006F73B5" w:rsidP="004156A1">
      <w:pPr>
        <w:pStyle w:val="Cabealho"/>
        <w:ind w:firstLine="1134"/>
        <w:jc w:val="both"/>
        <w:rPr>
          <w:sz w:val="24"/>
          <w:szCs w:val="24"/>
        </w:rPr>
      </w:pPr>
      <w:r w:rsidRPr="006F73B5">
        <w:rPr>
          <w:sz w:val="24"/>
          <w:szCs w:val="24"/>
        </w:rPr>
        <w:t xml:space="preserve">III. </w:t>
      </w:r>
      <w:hyperlink r:id="rId15" w:history="1">
        <w:r w:rsidR="007E0F6A" w:rsidRPr="00D47AA3">
          <w:rPr>
            <w:rStyle w:val="Hyperlink"/>
            <w:i/>
            <w:sz w:val="24"/>
            <w:szCs w:val="24"/>
          </w:rPr>
          <w:t>(</w:t>
        </w:r>
        <w:r w:rsidR="007E0F6A">
          <w:rPr>
            <w:rStyle w:val="Hyperlink"/>
            <w:i/>
            <w:sz w:val="24"/>
            <w:szCs w:val="24"/>
          </w:rPr>
          <w:t>Revogado</w:t>
        </w:r>
        <w:r w:rsidR="007E0F6A" w:rsidRPr="00D47AA3">
          <w:rPr>
            <w:rStyle w:val="Hyperlink"/>
            <w:i/>
            <w:sz w:val="24"/>
            <w:szCs w:val="24"/>
          </w:rPr>
          <w:t xml:space="preserve"> pela Instrução nº 1, de 31/3/2014)</w:t>
        </w:r>
      </w:hyperlink>
    </w:p>
    <w:p w:rsidR="006F73B5" w:rsidRPr="006F73B5" w:rsidRDefault="006F73B5" w:rsidP="004156A1">
      <w:pPr>
        <w:pStyle w:val="Cabealho"/>
        <w:ind w:firstLine="1134"/>
        <w:jc w:val="both"/>
        <w:rPr>
          <w:sz w:val="24"/>
          <w:szCs w:val="24"/>
        </w:rPr>
      </w:pPr>
      <w:r w:rsidRPr="006F73B5">
        <w:rPr>
          <w:sz w:val="24"/>
          <w:szCs w:val="24"/>
        </w:rPr>
        <w:t xml:space="preserve">IV. </w:t>
      </w:r>
      <w:hyperlink r:id="rId16" w:history="1">
        <w:r w:rsidR="007E0F6A" w:rsidRPr="00D47AA3">
          <w:rPr>
            <w:rStyle w:val="Hyperlink"/>
            <w:i/>
            <w:sz w:val="24"/>
            <w:szCs w:val="24"/>
          </w:rPr>
          <w:t>(</w:t>
        </w:r>
        <w:r w:rsidR="007E0F6A">
          <w:rPr>
            <w:rStyle w:val="Hyperlink"/>
            <w:i/>
            <w:sz w:val="24"/>
            <w:szCs w:val="24"/>
          </w:rPr>
          <w:t>Revogado</w:t>
        </w:r>
        <w:r w:rsidR="007E0F6A" w:rsidRPr="00D47AA3">
          <w:rPr>
            <w:rStyle w:val="Hyperlink"/>
            <w:i/>
            <w:sz w:val="24"/>
            <w:szCs w:val="24"/>
          </w:rPr>
          <w:t xml:space="preserve"> pela Instrução nº 1, de 31/3/2014)</w:t>
        </w:r>
      </w:hyperlink>
      <w:r w:rsidRPr="006F73B5">
        <w:rPr>
          <w:sz w:val="24"/>
          <w:szCs w:val="24"/>
        </w:rPr>
        <w:t xml:space="preserve"> </w:t>
      </w:r>
    </w:p>
    <w:p w:rsidR="006F73B5" w:rsidRPr="006F73B5" w:rsidRDefault="006F73B5" w:rsidP="004156A1">
      <w:pPr>
        <w:pStyle w:val="Cabealho"/>
        <w:ind w:firstLine="1134"/>
        <w:jc w:val="both"/>
        <w:rPr>
          <w:sz w:val="24"/>
          <w:szCs w:val="24"/>
        </w:rPr>
      </w:pPr>
    </w:p>
    <w:p w:rsidR="009F2274" w:rsidRPr="009F2274" w:rsidRDefault="009F2274" w:rsidP="009F2274">
      <w:pPr>
        <w:pStyle w:val="Cabealho"/>
        <w:ind w:firstLine="1134"/>
        <w:jc w:val="both"/>
        <w:rPr>
          <w:sz w:val="24"/>
          <w:szCs w:val="24"/>
        </w:rPr>
      </w:pPr>
      <w:r w:rsidRPr="009F2274">
        <w:rPr>
          <w:sz w:val="24"/>
          <w:szCs w:val="24"/>
        </w:rPr>
        <w:t>Art. 7º Compete ao gerente do processo de gerenciamento de incidentes:</w:t>
      </w:r>
      <w:r>
        <w:rPr>
          <w:sz w:val="24"/>
          <w:szCs w:val="24"/>
        </w:rPr>
        <w:t xml:space="preserve"> </w:t>
      </w:r>
      <w:hyperlink r:id="rId17" w:history="1">
        <w:r w:rsidRPr="00D47AA3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“Caput” do artigo</w:t>
        </w:r>
        <w:r w:rsidRPr="00D47AA3">
          <w:rPr>
            <w:rStyle w:val="Hyperlink"/>
            <w:i/>
            <w:sz w:val="24"/>
            <w:szCs w:val="24"/>
          </w:rPr>
          <w:t xml:space="preserve"> com redação dada pela Instrução nº 1, de 31/3/2014)</w:t>
        </w:r>
      </w:hyperlink>
    </w:p>
    <w:p w:rsidR="009F2274" w:rsidRPr="009F2274" w:rsidRDefault="009F2274" w:rsidP="009F2274">
      <w:pPr>
        <w:pStyle w:val="Cabealho"/>
        <w:ind w:firstLine="1134"/>
        <w:jc w:val="both"/>
        <w:rPr>
          <w:sz w:val="24"/>
          <w:szCs w:val="24"/>
        </w:rPr>
      </w:pPr>
      <w:r w:rsidRPr="009F2274">
        <w:rPr>
          <w:sz w:val="24"/>
          <w:szCs w:val="24"/>
        </w:rPr>
        <w:t>I - Propor políticas, procedimentos, modelos, rotinas e melhorias com vistas em sua plena eficiência, eficácia, operacionalidade e qualidade;</w:t>
      </w:r>
      <w:r>
        <w:rPr>
          <w:sz w:val="24"/>
          <w:szCs w:val="24"/>
        </w:rPr>
        <w:t xml:space="preserve"> </w:t>
      </w:r>
      <w:hyperlink r:id="rId18" w:history="1">
        <w:r w:rsidRPr="00D47AA3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Primitivo inciso V renumerado</w:t>
        </w:r>
        <w:r w:rsidRPr="00D47AA3">
          <w:rPr>
            <w:rStyle w:val="Hyperlink"/>
            <w:i/>
            <w:sz w:val="24"/>
            <w:szCs w:val="24"/>
          </w:rPr>
          <w:t xml:space="preserve"> com redação dada pela Instrução nº 1, de 31/3/2014)</w:t>
        </w:r>
      </w:hyperlink>
    </w:p>
    <w:p w:rsidR="009F2274" w:rsidRPr="009F2274" w:rsidRDefault="009F2274" w:rsidP="009F2274">
      <w:pPr>
        <w:pStyle w:val="Cabealho"/>
        <w:ind w:firstLine="1134"/>
        <w:jc w:val="both"/>
        <w:rPr>
          <w:sz w:val="24"/>
          <w:szCs w:val="24"/>
        </w:rPr>
      </w:pPr>
      <w:r w:rsidRPr="009F2274">
        <w:rPr>
          <w:sz w:val="24"/>
          <w:szCs w:val="24"/>
        </w:rPr>
        <w:t>II - Coordenar a elaboração e aplicação das alterações no processo;</w:t>
      </w:r>
      <w:r w:rsidR="003F6588">
        <w:rPr>
          <w:sz w:val="24"/>
          <w:szCs w:val="24"/>
        </w:rPr>
        <w:t xml:space="preserve"> </w:t>
      </w:r>
      <w:hyperlink r:id="rId19" w:history="1">
        <w:r w:rsidR="003F6588" w:rsidRPr="00D47AA3">
          <w:rPr>
            <w:rStyle w:val="Hyperlink"/>
            <w:i/>
            <w:sz w:val="24"/>
            <w:szCs w:val="24"/>
          </w:rPr>
          <w:t>(</w:t>
        </w:r>
        <w:r w:rsidR="003F6588">
          <w:rPr>
            <w:rStyle w:val="Hyperlink"/>
            <w:i/>
            <w:sz w:val="24"/>
            <w:szCs w:val="24"/>
          </w:rPr>
          <w:t>Inciso com redação dada</w:t>
        </w:r>
        <w:r w:rsidR="003F6588" w:rsidRPr="00D47AA3">
          <w:rPr>
            <w:rStyle w:val="Hyperlink"/>
            <w:i/>
            <w:sz w:val="24"/>
            <w:szCs w:val="24"/>
          </w:rPr>
          <w:t xml:space="preserve"> pela Instrução nº 1, de 31/3/2014)</w:t>
        </w:r>
      </w:hyperlink>
    </w:p>
    <w:p w:rsidR="009F2274" w:rsidRPr="009F2274" w:rsidRDefault="009F2274" w:rsidP="009F2274">
      <w:pPr>
        <w:pStyle w:val="Cabealho"/>
        <w:ind w:firstLine="1134"/>
        <w:jc w:val="both"/>
        <w:rPr>
          <w:sz w:val="24"/>
          <w:szCs w:val="24"/>
        </w:rPr>
      </w:pPr>
      <w:r w:rsidRPr="009F2274">
        <w:rPr>
          <w:sz w:val="24"/>
          <w:szCs w:val="24"/>
        </w:rPr>
        <w:t>III - Divulgar o processo;</w:t>
      </w:r>
      <w:r w:rsidR="003F6588">
        <w:rPr>
          <w:sz w:val="24"/>
          <w:szCs w:val="24"/>
        </w:rPr>
        <w:t xml:space="preserve"> </w:t>
      </w:r>
      <w:hyperlink r:id="rId20" w:history="1">
        <w:r w:rsidR="003F6588" w:rsidRPr="00D47AA3">
          <w:rPr>
            <w:rStyle w:val="Hyperlink"/>
            <w:i/>
            <w:sz w:val="24"/>
            <w:szCs w:val="24"/>
          </w:rPr>
          <w:t>(</w:t>
        </w:r>
        <w:r w:rsidR="003F6588">
          <w:rPr>
            <w:rStyle w:val="Hyperlink"/>
            <w:i/>
            <w:sz w:val="24"/>
            <w:szCs w:val="24"/>
          </w:rPr>
          <w:t>Inciso com redação dada</w:t>
        </w:r>
        <w:r w:rsidR="003F6588" w:rsidRPr="00D47AA3">
          <w:rPr>
            <w:rStyle w:val="Hyperlink"/>
            <w:i/>
            <w:sz w:val="24"/>
            <w:szCs w:val="24"/>
          </w:rPr>
          <w:t xml:space="preserve"> pela Instrução nº 1, de 31/3/2014)</w:t>
        </w:r>
      </w:hyperlink>
    </w:p>
    <w:p w:rsidR="009F2274" w:rsidRPr="009F2274" w:rsidRDefault="009F2274" w:rsidP="009F2274">
      <w:pPr>
        <w:pStyle w:val="Cabealho"/>
        <w:ind w:firstLine="1134"/>
        <w:jc w:val="both"/>
        <w:rPr>
          <w:sz w:val="24"/>
          <w:szCs w:val="24"/>
        </w:rPr>
      </w:pPr>
      <w:r w:rsidRPr="009F2274">
        <w:rPr>
          <w:sz w:val="24"/>
          <w:szCs w:val="24"/>
        </w:rPr>
        <w:t>IV - Prestar apoio consultivo e colaborar na capacitação de pessoas;</w:t>
      </w:r>
      <w:r w:rsidR="003F6588">
        <w:rPr>
          <w:sz w:val="24"/>
          <w:szCs w:val="24"/>
        </w:rPr>
        <w:t xml:space="preserve"> </w:t>
      </w:r>
      <w:hyperlink r:id="rId21" w:history="1">
        <w:r w:rsidR="003F6588" w:rsidRPr="00D47AA3">
          <w:rPr>
            <w:rStyle w:val="Hyperlink"/>
            <w:i/>
            <w:sz w:val="24"/>
            <w:szCs w:val="24"/>
          </w:rPr>
          <w:t>(</w:t>
        </w:r>
        <w:r w:rsidR="003F6588">
          <w:rPr>
            <w:rStyle w:val="Hyperlink"/>
            <w:i/>
            <w:sz w:val="24"/>
            <w:szCs w:val="24"/>
          </w:rPr>
          <w:t>Inciso acrescido</w:t>
        </w:r>
        <w:r w:rsidR="003F6588" w:rsidRPr="00D47AA3">
          <w:rPr>
            <w:rStyle w:val="Hyperlink"/>
            <w:i/>
            <w:sz w:val="24"/>
            <w:szCs w:val="24"/>
          </w:rPr>
          <w:t xml:space="preserve"> pela Instrução nº 1, de 31/3/2014)</w:t>
        </w:r>
      </w:hyperlink>
    </w:p>
    <w:p w:rsidR="009F2274" w:rsidRPr="009F2274" w:rsidRDefault="009F2274" w:rsidP="009F2274">
      <w:pPr>
        <w:pStyle w:val="Cabealho"/>
        <w:ind w:firstLine="1134"/>
        <w:jc w:val="both"/>
        <w:rPr>
          <w:sz w:val="24"/>
          <w:szCs w:val="24"/>
        </w:rPr>
      </w:pPr>
      <w:r w:rsidRPr="009F2274">
        <w:rPr>
          <w:sz w:val="24"/>
          <w:szCs w:val="24"/>
        </w:rPr>
        <w:t>V - Tratar eventuais conflitos e restrições que ameacem a correta aplicação das práticas recomendadas;</w:t>
      </w:r>
      <w:r>
        <w:rPr>
          <w:sz w:val="24"/>
          <w:szCs w:val="24"/>
        </w:rPr>
        <w:t xml:space="preserve"> </w:t>
      </w:r>
      <w:hyperlink r:id="rId22" w:history="1">
        <w:r w:rsidRPr="00D47AA3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Inciso acrescido</w:t>
        </w:r>
        <w:r w:rsidRPr="00D47AA3">
          <w:rPr>
            <w:rStyle w:val="Hyperlink"/>
            <w:i/>
            <w:sz w:val="24"/>
            <w:szCs w:val="24"/>
          </w:rPr>
          <w:t xml:space="preserve"> pela Instrução nº 1, de 31/3/2014)</w:t>
        </w:r>
      </w:hyperlink>
    </w:p>
    <w:p w:rsidR="009F2274" w:rsidRPr="009F2274" w:rsidRDefault="009F2274" w:rsidP="009F2274">
      <w:pPr>
        <w:pStyle w:val="Cabealho"/>
        <w:ind w:firstLine="1134"/>
        <w:jc w:val="both"/>
        <w:rPr>
          <w:sz w:val="24"/>
          <w:szCs w:val="24"/>
        </w:rPr>
      </w:pPr>
      <w:r w:rsidRPr="009F2274">
        <w:rPr>
          <w:sz w:val="24"/>
          <w:szCs w:val="24"/>
        </w:rPr>
        <w:t>VI - Apurar os indicadores de desempenho do processo;</w:t>
      </w:r>
      <w:r>
        <w:rPr>
          <w:sz w:val="24"/>
          <w:szCs w:val="24"/>
        </w:rPr>
        <w:t xml:space="preserve"> </w:t>
      </w:r>
      <w:hyperlink r:id="rId23" w:history="1">
        <w:r w:rsidRPr="00D47AA3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Primitivo inciso IV renumerado</w:t>
        </w:r>
        <w:r w:rsidRPr="00D47AA3">
          <w:rPr>
            <w:rStyle w:val="Hyperlink"/>
            <w:i/>
            <w:sz w:val="24"/>
            <w:szCs w:val="24"/>
          </w:rPr>
          <w:t xml:space="preserve"> com redação dada pela Instrução nº 1, de 31/3/2014)</w:t>
        </w:r>
      </w:hyperlink>
    </w:p>
    <w:p w:rsidR="009F2274" w:rsidRDefault="009F2274" w:rsidP="009F2274">
      <w:pPr>
        <w:pStyle w:val="Cabealho"/>
        <w:ind w:firstLine="1134"/>
        <w:jc w:val="both"/>
        <w:rPr>
          <w:sz w:val="24"/>
          <w:szCs w:val="24"/>
        </w:rPr>
      </w:pPr>
      <w:r w:rsidRPr="009F2274">
        <w:rPr>
          <w:sz w:val="24"/>
          <w:szCs w:val="24"/>
        </w:rPr>
        <w:t>VII - Quando solicitado, fornecer as informações gerenciais acerca do processo, tais como estatísticas sobre o atendimento de incidentes e requisições de serviço e a situação do atendimento aos acordos vigentes.</w:t>
      </w:r>
      <w:r>
        <w:rPr>
          <w:sz w:val="24"/>
          <w:szCs w:val="24"/>
        </w:rPr>
        <w:t xml:space="preserve"> </w:t>
      </w:r>
      <w:hyperlink r:id="rId24" w:history="1">
        <w:r w:rsidRPr="00D47AA3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Primitivo inciso III renumerado</w:t>
        </w:r>
        <w:r w:rsidRPr="00D47AA3">
          <w:rPr>
            <w:rStyle w:val="Hyperlink"/>
            <w:i/>
            <w:sz w:val="24"/>
            <w:szCs w:val="24"/>
          </w:rPr>
          <w:t xml:space="preserve"> com redação dada pela Instrução nº 1, de 31/3/2014)</w:t>
        </w:r>
      </w:hyperlink>
    </w:p>
    <w:p w:rsidR="009F2274" w:rsidRPr="006F73B5" w:rsidRDefault="009F2274" w:rsidP="004156A1">
      <w:pPr>
        <w:pStyle w:val="Cabealho"/>
        <w:ind w:firstLine="1134"/>
        <w:jc w:val="both"/>
        <w:rPr>
          <w:sz w:val="24"/>
          <w:szCs w:val="24"/>
        </w:rPr>
      </w:pPr>
    </w:p>
    <w:p w:rsidR="006F73B5" w:rsidRPr="006F73B5" w:rsidRDefault="006F73B5" w:rsidP="004156A1">
      <w:pPr>
        <w:pStyle w:val="Cabealho"/>
        <w:ind w:firstLine="1134"/>
        <w:jc w:val="both"/>
        <w:rPr>
          <w:sz w:val="24"/>
          <w:szCs w:val="24"/>
        </w:rPr>
      </w:pPr>
      <w:r w:rsidRPr="006F73B5">
        <w:rPr>
          <w:sz w:val="24"/>
          <w:szCs w:val="24"/>
        </w:rPr>
        <w:t xml:space="preserve">Art. 8º Norma complementar do Centro de Informática definirá os papéis atribuídos a cada atividade, os responsáveis por exercer cada papel, bem como a forma de registro, o acompanhamento, o escalonamento, a comunicação e o encerramento de incidentes e requisições de serviço. </w:t>
      </w:r>
    </w:p>
    <w:p w:rsidR="006F73B5" w:rsidRPr="006F73B5" w:rsidRDefault="006F73B5" w:rsidP="004156A1">
      <w:pPr>
        <w:pStyle w:val="Cabealho"/>
        <w:ind w:firstLine="1134"/>
        <w:jc w:val="both"/>
        <w:rPr>
          <w:sz w:val="24"/>
          <w:szCs w:val="24"/>
        </w:rPr>
      </w:pPr>
      <w:r w:rsidRPr="006F73B5">
        <w:rPr>
          <w:sz w:val="24"/>
          <w:szCs w:val="24"/>
        </w:rPr>
        <w:t xml:space="preserve">Parágrafo único. A documentação do processo estará disponível em local de fácil acesso a todos os envolvidos na gestão e execução das atividades do processo. </w:t>
      </w:r>
    </w:p>
    <w:p w:rsidR="006F73B5" w:rsidRPr="006F73B5" w:rsidRDefault="006F73B5" w:rsidP="004156A1">
      <w:pPr>
        <w:pStyle w:val="Cabealho"/>
        <w:ind w:firstLine="1134"/>
        <w:jc w:val="both"/>
        <w:rPr>
          <w:sz w:val="24"/>
          <w:szCs w:val="24"/>
        </w:rPr>
      </w:pPr>
    </w:p>
    <w:p w:rsidR="006F73B5" w:rsidRPr="006F73B5" w:rsidRDefault="006F73B5" w:rsidP="004156A1">
      <w:pPr>
        <w:pStyle w:val="Cabealho"/>
        <w:ind w:firstLine="1134"/>
        <w:jc w:val="both"/>
        <w:rPr>
          <w:sz w:val="24"/>
          <w:szCs w:val="24"/>
        </w:rPr>
      </w:pPr>
      <w:r w:rsidRPr="006F73B5">
        <w:rPr>
          <w:sz w:val="24"/>
          <w:szCs w:val="24"/>
        </w:rPr>
        <w:t xml:space="preserve">Art. 9º Servidores efetivos, CNEs e demais colaboradores do Centro de Informática deverão seguir o processo de gerenciamento de incidentes. </w:t>
      </w:r>
    </w:p>
    <w:p w:rsidR="006F73B5" w:rsidRPr="006F73B5" w:rsidRDefault="006F73B5" w:rsidP="004156A1">
      <w:pPr>
        <w:pStyle w:val="Cabealho"/>
        <w:ind w:firstLine="1134"/>
        <w:jc w:val="both"/>
        <w:rPr>
          <w:sz w:val="24"/>
          <w:szCs w:val="24"/>
        </w:rPr>
      </w:pPr>
      <w:r w:rsidRPr="006F73B5">
        <w:rPr>
          <w:sz w:val="24"/>
          <w:szCs w:val="24"/>
        </w:rPr>
        <w:t xml:space="preserve">Parágrafo único. Compete aos Diretores de Coordenação do Centro de Informática fomentar que seus subordinados observem e sigam as disposições do processo de gestão de incidentes de serviços de Tecnologia da Informação. </w:t>
      </w:r>
    </w:p>
    <w:p w:rsidR="006F73B5" w:rsidRPr="006F73B5" w:rsidRDefault="006F73B5" w:rsidP="004156A1">
      <w:pPr>
        <w:pStyle w:val="Cabealho"/>
        <w:ind w:firstLine="1134"/>
        <w:jc w:val="both"/>
        <w:rPr>
          <w:sz w:val="24"/>
          <w:szCs w:val="24"/>
        </w:rPr>
      </w:pPr>
    </w:p>
    <w:p w:rsidR="006F73B5" w:rsidRPr="006F73B5" w:rsidRDefault="006F73B5" w:rsidP="004156A1">
      <w:pPr>
        <w:pStyle w:val="Cabealho"/>
        <w:ind w:firstLine="1134"/>
        <w:jc w:val="both"/>
        <w:rPr>
          <w:sz w:val="24"/>
          <w:szCs w:val="24"/>
        </w:rPr>
      </w:pPr>
      <w:r w:rsidRPr="006F73B5">
        <w:rPr>
          <w:sz w:val="24"/>
          <w:szCs w:val="24"/>
        </w:rPr>
        <w:t xml:space="preserve">Art. 10. Esta Instrução entra em vigor na data de sua publicação. </w:t>
      </w:r>
    </w:p>
    <w:p w:rsidR="006F73B5" w:rsidRPr="006F73B5" w:rsidRDefault="006F73B5" w:rsidP="004156A1">
      <w:pPr>
        <w:pStyle w:val="Cabealho"/>
        <w:ind w:firstLine="1134"/>
        <w:jc w:val="both"/>
        <w:rPr>
          <w:sz w:val="24"/>
          <w:szCs w:val="24"/>
        </w:rPr>
      </w:pPr>
    </w:p>
    <w:p w:rsidR="006F73B5" w:rsidRPr="006F73B5" w:rsidRDefault="006F73B5" w:rsidP="004156A1">
      <w:pPr>
        <w:pStyle w:val="Cabealho"/>
        <w:ind w:firstLine="1134"/>
        <w:jc w:val="both"/>
        <w:rPr>
          <w:sz w:val="24"/>
          <w:szCs w:val="24"/>
        </w:rPr>
      </w:pPr>
      <w:r w:rsidRPr="006F73B5">
        <w:rPr>
          <w:sz w:val="24"/>
          <w:szCs w:val="24"/>
        </w:rPr>
        <w:t>Em 21/05/2012.</w:t>
      </w:r>
    </w:p>
    <w:p w:rsidR="006F73B5" w:rsidRPr="006F73B5" w:rsidRDefault="006F73B5" w:rsidP="004156A1">
      <w:pPr>
        <w:pStyle w:val="Cabealho"/>
        <w:ind w:firstLine="1134"/>
        <w:jc w:val="both"/>
        <w:rPr>
          <w:sz w:val="24"/>
          <w:szCs w:val="24"/>
        </w:rPr>
      </w:pPr>
    </w:p>
    <w:p w:rsidR="006F73B5" w:rsidRPr="006F73B5" w:rsidRDefault="006F73B5" w:rsidP="004156A1">
      <w:pPr>
        <w:pStyle w:val="Cabealho"/>
        <w:ind w:firstLine="1134"/>
        <w:jc w:val="both"/>
        <w:rPr>
          <w:sz w:val="24"/>
          <w:szCs w:val="24"/>
        </w:rPr>
      </w:pPr>
      <w:r w:rsidRPr="006F73B5">
        <w:rPr>
          <w:sz w:val="24"/>
          <w:szCs w:val="24"/>
        </w:rPr>
        <w:t xml:space="preserve">LEIRTON SARAVIA DE CASTRO, </w:t>
      </w:r>
    </w:p>
    <w:p w:rsidR="006F73B5" w:rsidRPr="006F73B5" w:rsidRDefault="006F73B5" w:rsidP="004156A1">
      <w:pPr>
        <w:pStyle w:val="Cabealho"/>
        <w:ind w:firstLine="1134"/>
        <w:jc w:val="both"/>
        <w:rPr>
          <w:sz w:val="24"/>
          <w:szCs w:val="24"/>
        </w:rPr>
      </w:pPr>
      <w:r w:rsidRPr="006F73B5">
        <w:rPr>
          <w:sz w:val="24"/>
          <w:szCs w:val="24"/>
        </w:rPr>
        <w:t>Diretor.</w:t>
      </w:r>
    </w:p>
    <w:sectPr w:rsidR="006F73B5" w:rsidRPr="006F73B5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grammar="clean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9BB"/>
    <w:rsid w:val="000134AC"/>
    <w:rsid w:val="00031082"/>
    <w:rsid w:val="000C6F5F"/>
    <w:rsid w:val="00175214"/>
    <w:rsid w:val="001A4BC9"/>
    <w:rsid w:val="001B2C33"/>
    <w:rsid w:val="00202D1E"/>
    <w:rsid w:val="002055E6"/>
    <w:rsid w:val="00212338"/>
    <w:rsid w:val="00232766"/>
    <w:rsid w:val="00237EC3"/>
    <w:rsid w:val="00263EDC"/>
    <w:rsid w:val="00271313"/>
    <w:rsid w:val="002B0AB7"/>
    <w:rsid w:val="002B3BBA"/>
    <w:rsid w:val="002E70DF"/>
    <w:rsid w:val="00314125"/>
    <w:rsid w:val="003223A1"/>
    <w:rsid w:val="003674AE"/>
    <w:rsid w:val="00371520"/>
    <w:rsid w:val="003A65BE"/>
    <w:rsid w:val="003F3F69"/>
    <w:rsid w:val="003F6588"/>
    <w:rsid w:val="0040208F"/>
    <w:rsid w:val="004156A1"/>
    <w:rsid w:val="0042059C"/>
    <w:rsid w:val="00435FBD"/>
    <w:rsid w:val="00475BE4"/>
    <w:rsid w:val="004856EA"/>
    <w:rsid w:val="004A09BB"/>
    <w:rsid w:val="004C37B8"/>
    <w:rsid w:val="004E2F52"/>
    <w:rsid w:val="0054029F"/>
    <w:rsid w:val="00577DFB"/>
    <w:rsid w:val="005D2392"/>
    <w:rsid w:val="005E1653"/>
    <w:rsid w:val="005E3259"/>
    <w:rsid w:val="00602398"/>
    <w:rsid w:val="006024C4"/>
    <w:rsid w:val="006053C1"/>
    <w:rsid w:val="00612BE0"/>
    <w:rsid w:val="00642F39"/>
    <w:rsid w:val="00644E1F"/>
    <w:rsid w:val="00651582"/>
    <w:rsid w:val="006C5BCA"/>
    <w:rsid w:val="006D2527"/>
    <w:rsid w:val="006E5D2D"/>
    <w:rsid w:val="006F73B5"/>
    <w:rsid w:val="00700001"/>
    <w:rsid w:val="007234DC"/>
    <w:rsid w:val="00723BD5"/>
    <w:rsid w:val="0074415D"/>
    <w:rsid w:val="00787EE7"/>
    <w:rsid w:val="007959C8"/>
    <w:rsid w:val="007A4576"/>
    <w:rsid w:val="007C24E6"/>
    <w:rsid w:val="007C66B0"/>
    <w:rsid w:val="007D7D15"/>
    <w:rsid w:val="007E0856"/>
    <w:rsid w:val="007E0F6A"/>
    <w:rsid w:val="007F111E"/>
    <w:rsid w:val="008119B6"/>
    <w:rsid w:val="008318D5"/>
    <w:rsid w:val="00833698"/>
    <w:rsid w:val="008528AE"/>
    <w:rsid w:val="00876610"/>
    <w:rsid w:val="00883AFE"/>
    <w:rsid w:val="008D30AE"/>
    <w:rsid w:val="008E4285"/>
    <w:rsid w:val="008F51DC"/>
    <w:rsid w:val="009E2F21"/>
    <w:rsid w:val="009F1493"/>
    <w:rsid w:val="009F2274"/>
    <w:rsid w:val="00A013F8"/>
    <w:rsid w:val="00A270C0"/>
    <w:rsid w:val="00A43F13"/>
    <w:rsid w:val="00A54BF7"/>
    <w:rsid w:val="00AB04AF"/>
    <w:rsid w:val="00AC6BCE"/>
    <w:rsid w:val="00AF529C"/>
    <w:rsid w:val="00AF6801"/>
    <w:rsid w:val="00B40BA8"/>
    <w:rsid w:val="00B435AF"/>
    <w:rsid w:val="00B821AF"/>
    <w:rsid w:val="00BD136A"/>
    <w:rsid w:val="00BE1A48"/>
    <w:rsid w:val="00C038C8"/>
    <w:rsid w:val="00C0484C"/>
    <w:rsid w:val="00C20425"/>
    <w:rsid w:val="00C35CC0"/>
    <w:rsid w:val="00C428CC"/>
    <w:rsid w:val="00C66170"/>
    <w:rsid w:val="00C72B05"/>
    <w:rsid w:val="00CB7ABD"/>
    <w:rsid w:val="00CF7403"/>
    <w:rsid w:val="00CF7858"/>
    <w:rsid w:val="00D47AA3"/>
    <w:rsid w:val="00D72970"/>
    <w:rsid w:val="00DA2508"/>
    <w:rsid w:val="00DE6C2C"/>
    <w:rsid w:val="00DF2289"/>
    <w:rsid w:val="00DF7619"/>
    <w:rsid w:val="00E0062E"/>
    <w:rsid w:val="00E23F8E"/>
    <w:rsid w:val="00E25EA6"/>
    <w:rsid w:val="00E44486"/>
    <w:rsid w:val="00E471DE"/>
    <w:rsid w:val="00E8077F"/>
    <w:rsid w:val="00E874A7"/>
    <w:rsid w:val="00EB24A6"/>
    <w:rsid w:val="00EC048A"/>
    <w:rsid w:val="00F13A54"/>
    <w:rsid w:val="00F830DA"/>
    <w:rsid w:val="00FC1891"/>
    <w:rsid w:val="00FE145A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670BEED-820D-4093-A39B-FED7A95C1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camara.leg.br/legin/int/instru/2014/instrucao-1-31-marco-2014-778383-publicacaooriginal-143741-cd-cenin.html" TargetMode="External"/><Relationship Id="rId13" Type="http://schemas.openxmlformats.org/officeDocument/2006/relationships/hyperlink" Target="http://www2.camara.leg.br/legin/int/instru/2014/instrucao-1-31-marco-2014-778383-publicacaooriginal-143741-cd-cenin.html" TargetMode="External"/><Relationship Id="rId18" Type="http://schemas.openxmlformats.org/officeDocument/2006/relationships/hyperlink" Target="http://www2.camara.leg.br/legin/int/instru/2014/instrucao-1-31-marco-2014-778383-publicacaooriginal-143741-cd-cenin.html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2.camara.leg.br/legin/int/instru/2014/instrucao-1-31-marco-2014-778383-publicacaooriginal-143741-cd-cenin.html" TargetMode="External"/><Relationship Id="rId7" Type="http://schemas.openxmlformats.org/officeDocument/2006/relationships/oleObject" Target="embeddings/oleObject1.bin"/><Relationship Id="rId12" Type="http://schemas.openxmlformats.org/officeDocument/2006/relationships/hyperlink" Target="http://www2.camara.leg.br/legin/int/instru/2014/instrucao-1-31-marco-2014-778383-publicacaooriginal-143741-cd-cenin.html" TargetMode="External"/><Relationship Id="rId17" Type="http://schemas.openxmlformats.org/officeDocument/2006/relationships/hyperlink" Target="http://www2.camara.leg.br/legin/int/instru/2014/instrucao-1-31-marco-2014-778383-publicacaooriginal-143741-cd-cenin.html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2.camara.leg.br/legin/int/instru/2014/instrucao-1-31-marco-2014-778383-publicacaooriginal-143741-cd-cenin.html" TargetMode="External"/><Relationship Id="rId20" Type="http://schemas.openxmlformats.org/officeDocument/2006/relationships/hyperlink" Target="http://www2.camara.leg.br/legin/int/instru/2014/instrucao-1-31-marco-2014-778383-publicacaooriginal-143741-cd-cenin.html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2.camara.leg.br/legin/int/instru/2014/instrucao-1-31-marco-2014-778383-publicacaooriginal-143741-cd-cenin.html" TargetMode="External"/><Relationship Id="rId24" Type="http://schemas.openxmlformats.org/officeDocument/2006/relationships/hyperlink" Target="http://www2.camara.leg.br/legin/int/instru/2014/instrucao-1-31-marco-2014-778383-publicacaooriginal-143741-cd-cenin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2.camara.leg.br/legin/int/instru/2014/instrucao-1-31-marco-2014-778383-publicacaooriginal-143741-cd-cenin.html" TargetMode="External"/><Relationship Id="rId23" Type="http://schemas.openxmlformats.org/officeDocument/2006/relationships/hyperlink" Target="http://www2.camara.leg.br/legin/int/instru/2014/instrucao-1-31-marco-2014-778383-publicacaooriginal-143741-cd-cenin.html" TargetMode="External"/><Relationship Id="rId10" Type="http://schemas.openxmlformats.org/officeDocument/2006/relationships/hyperlink" Target="http://www2.camara.leg.br/legin/int/instru/2014/instrucao-1-31-marco-2014-778383-publicacaooriginal-143741-cd-cenin.html" TargetMode="External"/><Relationship Id="rId19" Type="http://schemas.openxmlformats.org/officeDocument/2006/relationships/hyperlink" Target="http://www2.camara.leg.br/legin/int/instru/2014/instrucao-1-31-marco-2014-778383-publicacaooriginal-143741-cd-cenin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2.camara.leg.br/legin/int/instru/2014/instrucao-1-31-marco-2014-778383-publicacaooriginal-143741-cd-cenin.html" TargetMode="External"/><Relationship Id="rId14" Type="http://schemas.openxmlformats.org/officeDocument/2006/relationships/hyperlink" Target="http://www2.camara.leg.br/legin/int/instru/2014/instrucao-1-31-marco-2014-778383-publicacaooriginal-143741-cd-cenin.html" TargetMode="External"/><Relationship Id="rId22" Type="http://schemas.openxmlformats.org/officeDocument/2006/relationships/hyperlink" Target="http://www2.camara.leg.br/legin/int/instru/2014/instrucao-1-31-marco-2014-778383-publicacaooriginal-143741-cd-cenin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CA486-D90D-4EE3-9D3D-8313D317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1535</Words>
  <Characters>8293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9809</CharactersWithSpaces>
  <SharedDoc>false</SharedDoc>
  <HLinks>
    <vt:vector size="102" baseType="variant">
      <vt:variant>
        <vt:i4>4915230</vt:i4>
      </vt:variant>
      <vt:variant>
        <vt:i4>48</vt:i4>
      </vt:variant>
      <vt:variant>
        <vt:i4>0</vt:i4>
      </vt:variant>
      <vt:variant>
        <vt:i4>5</vt:i4>
      </vt:variant>
      <vt:variant>
        <vt:lpwstr>http://www2.camara.leg.br/legin/int/instru/2014/instrucao-1-31-marco-2014-778383-publicacaooriginal-143741-cd-cenin.html</vt:lpwstr>
      </vt:variant>
      <vt:variant>
        <vt:lpwstr/>
      </vt:variant>
      <vt:variant>
        <vt:i4>4915230</vt:i4>
      </vt:variant>
      <vt:variant>
        <vt:i4>45</vt:i4>
      </vt:variant>
      <vt:variant>
        <vt:i4>0</vt:i4>
      </vt:variant>
      <vt:variant>
        <vt:i4>5</vt:i4>
      </vt:variant>
      <vt:variant>
        <vt:lpwstr>http://www2.camara.leg.br/legin/int/instru/2014/instrucao-1-31-marco-2014-778383-publicacaooriginal-143741-cd-cenin.html</vt:lpwstr>
      </vt:variant>
      <vt:variant>
        <vt:lpwstr/>
      </vt:variant>
      <vt:variant>
        <vt:i4>4915230</vt:i4>
      </vt:variant>
      <vt:variant>
        <vt:i4>42</vt:i4>
      </vt:variant>
      <vt:variant>
        <vt:i4>0</vt:i4>
      </vt:variant>
      <vt:variant>
        <vt:i4>5</vt:i4>
      </vt:variant>
      <vt:variant>
        <vt:lpwstr>http://www2.camara.leg.br/legin/int/instru/2014/instrucao-1-31-marco-2014-778383-publicacaooriginal-143741-cd-cenin.html</vt:lpwstr>
      </vt:variant>
      <vt:variant>
        <vt:lpwstr/>
      </vt:variant>
      <vt:variant>
        <vt:i4>4915230</vt:i4>
      </vt:variant>
      <vt:variant>
        <vt:i4>39</vt:i4>
      </vt:variant>
      <vt:variant>
        <vt:i4>0</vt:i4>
      </vt:variant>
      <vt:variant>
        <vt:i4>5</vt:i4>
      </vt:variant>
      <vt:variant>
        <vt:lpwstr>http://www2.camara.leg.br/legin/int/instru/2014/instrucao-1-31-marco-2014-778383-publicacaooriginal-143741-cd-cenin.html</vt:lpwstr>
      </vt:variant>
      <vt:variant>
        <vt:lpwstr/>
      </vt:variant>
      <vt:variant>
        <vt:i4>4915230</vt:i4>
      </vt:variant>
      <vt:variant>
        <vt:i4>36</vt:i4>
      </vt:variant>
      <vt:variant>
        <vt:i4>0</vt:i4>
      </vt:variant>
      <vt:variant>
        <vt:i4>5</vt:i4>
      </vt:variant>
      <vt:variant>
        <vt:lpwstr>http://www2.camara.leg.br/legin/int/instru/2014/instrucao-1-31-marco-2014-778383-publicacaooriginal-143741-cd-cenin.html</vt:lpwstr>
      </vt:variant>
      <vt:variant>
        <vt:lpwstr/>
      </vt:variant>
      <vt:variant>
        <vt:i4>4915230</vt:i4>
      </vt:variant>
      <vt:variant>
        <vt:i4>33</vt:i4>
      </vt:variant>
      <vt:variant>
        <vt:i4>0</vt:i4>
      </vt:variant>
      <vt:variant>
        <vt:i4>5</vt:i4>
      </vt:variant>
      <vt:variant>
        <vt:lpwstr>http://www2.camara.leg.br/legin/int/instru/2014/instrucao-1-31-marco-2014-778383-publicacaooriginal-143741-cd-cenin.html</vt:lpwstr>
      </vt:variant>
      <vt:variant>
        <vt:lpwstr/>
      </vt:variant>
      <vt:variant>
        <vt:i4>4915230</vt:i4>
      </vt:variant>
      <vt:variant>
        <vt:i4>30</vt:i4>
      </vt:variant>
      <vt:variant>
        <vt:i4>0</vt:i4>
      </vt:variant>
      <vt:variant>
        <vt:i4>5</vt:i4>
      </vt:variant>
      <vt:variant>
        <vt:lpwstr>http://www2.camara.leg.br/legin/int/instru/2014/instrucao-1-31-marco-2014-778383-publicacaooriginal-143741-cd-cenin.html</vt:lpwstr>
      </vt:variant>
      <vt:variant>
        <vt:lpwstr/>
      </vt:variant>
      <vt:variant>
        <vt:i4>4915230</vt:i4>
      </vt:variant>
      <vt:variant>
        <vt:i4>27</vt:i4>
      </vt:variant>
      <vt:variant>
        <vt:i4>0</vt:i4>
      </vt:variant>
      <vt:variant>
        <vt:i4>5</vt:i4>
      </vt:variant>
      <vt:variant>
        <vt:lpwstr>http://www2.camara.leg.br/legin/int/instru/2014/instrucao-1-31-marco-2014-778383-publicacaooriginal-143741-cd-cenin.html</vt:lpwstr>
      </vt:variant>
      <vt:variant>
        <vt:lpwstr/>
      </vt:variant>
      <vt:variant>
        <vt:i4>4915230</vt:i4>
      </vt:variant>
      <vt:variant>
        <vt:i4>24</vt:i4>
      </vt:variant>
      <vt:variant>
        <vt:i4>0</vt:i4>
      </vt:variant>
      <vt:variant>
        <vt:i4>5</vt:i4>
      </vt:variant>
      <vt:variant>
        <vt:lpwstr>http://www2.camara.leg.br/legin/int/instru/2014/instrucao-1-31-marco-2014-778383-publicacaooriginal-143741-cd-cenin.html</vt:lpwstr>
      </vt:variant>
      <vt:variant>
        <vt:lpwstr/>
      </vt:variant>
      <vt:variant>
        <vt:i4>4915230</vt:i4>
      </vt:variant>
      <vt:variant>
        <vt:i4>21</vt:i4>
      </vt:variant>
      <vt:variant>
        <vt:i4>0</vt:i4>
      </vt:variant>
      <vt:variant>
        <vt:i4>5</vt:i4>
      </vt:variant>
      <vt:variant>
        <vt:lpwstr>http://www2.camara.leg.br/legin/int/instru/2014/instrucao-1-31-marco-2014-778383-publicacaooriginal-143741-cd-cenin.html</vt:lpwstr>
      </vt:variant>
      <vt:variant>
        <vt:lpwstr/>
      </vt:variant>
      <vt:variant>
        <vt:i4>4915230</vt:i4>
      </vt:variant>
      <vt:variant>
        <vt:i4>18</vt:i4>
      </vt:variant>
      <vt:variant>
        <vt:i4>0</vt:i4>
      </vt:variant>
      <vt:variant>
        <vt:i4>5</vt:i4>
      </vt:variant>
      <vt:variant>
        <vt:lpwstr>http://www2.camara.leg.br/legin/int/instru/2014/instrucao-1-31-marco-2014-778383-publicacaooriginal-143741-cd-cenin.html</vt:lpwstr>
      </vt:variant>
      <vt:variant>
        <vt:lpwstr/>
      </vt:variant>
      <vt:variant>
        <vt:i4>4915230</vt:i4>
      </vt:variant>
      <vt:variant>
        <vt:i4>15</vt:i4>
      </vt:variant>
      <vt:variant>
        <vt:i4>0</vt:i4>
      </vt:variant>
      <vt:variant>
        <vt:i4>5</vt:i4>
      </vt:variant>
      <vt:variant>
        <vt:lpwstr>http://www2.camara.leg.br/legin/int/instru/2014/instrucao-1-31-marco-2014-778383-publicacaooriginal-143741-cd-cenin.html</vt:lpwstr>
      </vt:variant>
      <vt:variant>
        <vt:lpwstr/>
      </vt:variant>
      <vt:variant>
        <vt:i4>4915230</vt:i4>
      </vt:variant>
      <vt:variant>
        <vt:i4>12</vt:i4>
      </vt:variant>
      <vt:variant>
        <vt:i4>0</vt:i4>
      </vt:variant>
      <vt:variant>
        <vt:i4>5</vt:i4>
      </vt:variant>
      <vt:variant>
        <vt:lpwstr>http://www2.camara.leg.br/legin/int/instru/2014/instrucao-1-31-marco-2014-778383-publicacaooriginal-143741-cd-cenin.html</vt:lpwstr>
      </vt:variant>
      <vt:variant>
        <vt:lpwstr/>
      </vt:variant>
      <vt:variant>
        <vt:i4>4915230</vt:i4>
      </vt:variant>
      <vt:variant>
        <vt:i4>9</vt:i4>
      </vt:variant>
      <vt:variant>
        <vt:i4>0</vt:i4>
      </vt:variant>
      <vt:variant>
        <vt:i4>5</vt:i4>
      </vt:variant>
      <vt:variant>
        <vt:lpwstr>http://www2.camara.leg.br/legin/int/instru/2014/instrucao-1-31-marco-2014-778383-publicacaooriginal-143741-cd-cenin.html</vt:lpwstr>
      </vt:variant>
      <vt:variant>
        <vt:lpwstr/>
      </vt:variant>
      <vt:variant>
        <vt:i4>4915230</vt:i4>
      </vt:variant>
      <vt:variant>
        <vt:i4>6</vt:i4>
      </vt:variant>
      <vt:variant>
        <vt:i4>0</vt:i4>
      </vt:variant>
      <vt:variant>
        <vt:i4>5</vt:i4>
      </vt:variant>
      <vt:variant>
        <vt:lpwstr>http://www2.camara.leg.br/legin/int/instru/2014/instrucao-1-31-marco-2014-778383-publicacaooriginal-143741-cd-cenin.html</vt:lpwstr>
      </vt:variant>
      <vt:variant>
        <vt:lpwstr/>
      </vt:variant>
      <vt:variant>
        <vt:i4>4915230</vt:i4>
      </vt:variant>
      <vt:variant>
        <vt:i4>3</vt:i4>
      </vt:variant>
      <vt:variant>
        <vt:i4>0</vt:i4>
      </vt:variant>
      <vt:variant>
        <vt:i4>5</vt:i4>
      </vt:variant>
      <vt:variant>
        <vt:lpwstr>http://www2.camara.leg.br/legin/int/instru/2014/instrucao-1-31-marco-2014-778383-publicacaooriginal-143741-cd-cenin.html</vt:lpwstr>
      </vt:variant>
      <vt:variant>
        <vt:lpwstr/>
      </vt:variant>
      <vt:variant>
        <vt:i4>4915230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http://www2.camara.leg.br/legin/int/instru/2014/instrucao-1-31-marco-2014-778383-publicacaooriginal-143741-cd-cenin.html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cp:lastModifiedBy>Autor</cp:lastModifiedBy>
  <cp:revision>2</cp:revision>
  <cp:lastPrinted>2009-10-20T17:50:00Z</cp:lastPrinted>
  <dcterms:created xsi:type="dcterms:W3CDTF">2025-11-20T17:40:00Z</dcterms:created>
  <dcterms:modified xsi:type="dcterms:W3CDTF">2025-11-20T17:40:00Z</dcterms:modified>
</cp:coreProperties>
</file>