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791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E05E7D" w:rsidRPr="00A40F84" w:rsidRDefault="00A40F84" w:rsidP="00A40F84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ATO DA MESA Nº 169, DE </w:t>
      </w:r>
      <w:r w:rsidR="00E05E7D" w:rsidRPr="00A40F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º/</w:t>
      </w:r>
      <w:r w:rsidR="00E05E7D" w:rsidRPr="00A40F84">
        <w:rPr>
          <w:b/>
          <w:sz w:val="28"/>
          <w:szCs w:val="28"/>
        </w:rPr>
        <w:t>3/2021</w:t>
      </w:r>
    </w:p>
    <w:p w:rsidR="006C1DF3" w:rsidRPr="006C1DF3" w:rsidRDefault="006C1DF3" w:rsidP="006C1DF3">
      <w:pPr>
        <w:pStyle w:val="Cabealho"/>
        <w:jc w:val="center"/>
        <w:rPr>
          <w:sz w:val="24"/>
          <w:szCs w:val="24"/>
        </w:rPr>
      </w:pPr>
      <w:hyperlink r:id="rId7" w:history="1">
        <w:r w:rsidRPr="006C1DF3">
          <w:rPr>
            <w:rStyle w:val="Hyperlink"/>
            <w:i/>
            <w:sz w:val="24"/>
            <w:szCs w:val="24"/>
          </w:rPr>
          <w:t>(Revogado pelo Ato da Mesa nº 207, de 21/10/2021, em vigor em 25/10/2021)</w:t>
        </w:r>
      </w:hyperlink>
    </w:p>
    <w:p w:rsidR="00E05E7D" w:rsidRPr="00E05E7D" w:rsidRDefault="00E05E7D" w:rsidP="00E05E7D">
      <w:pPr>
        <w:pStyle w:val="Cabealho"/>
        <w:jc w:val="both"/>
        <w:rPr>
          <w:sz w:val="24"/>
          <w:szCs w:val="24"/>
        </w:rPr>
      </w:pPr>
    </w:p>
    <w:p w:rsidR="00E05E7D" w:rsidRPr="00E05E7D" w:rsidRDefault="00E05E7D" w:rsidP="00E05E7D">
      <w:pPr>
        <w:pStyle w:val="Cabealho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left="4536"/>
        <w:jc w:val="both"/>
        <w:rPr>
          <w:sz w:val="24"/>
          <w:szCs w:val="24"/>
        </w:rPr>
      </w:pPr>
      <w:r w:rsidRPr="00E05E7D">
        <w:rPr>
          <w:sz w:val="24"/>
          <w:szCs w:val="24"/>
        </w:rPr>
        <w:t xml:space="preserve">Suspende excepcionalmente o protocolo de retomada gradativa das atividades presenciais em função da emergência de saúde pública de importância internacional relacionada ao </w:t>
      </w:r>
      <w:proofErr w:type="spellStart"/>
      <w:r w:rsidRPr="00E05E7D">
        <w:rPr>
          <w:sz w:val="24"/>
          <w:szCs w:val="24"/>
        </w:rPr>
        <w:t>coronavírus</w:t>
      </w:r>
      <w:proofErr w:type="spellEnd"/>
      <w:r w:rsidRPr="00E05E7D">
        <w:rPr>
          <w:sz w:val="24"/>
          <w:szCs w:val="24"/>
        </w:rPr>
        <w:t xml:space="preserve"> (Covid-19) na Câmara dos Deputados. </w:t>
      </w:r>
    </w:p>
    <w:p w:rsidR="00E05E7D" w:rsidRPr="00E05E7D" w:rsidRDefault="00E05E7D" w:rsidP="00E05E7D">
      <w:pPr>
        <w:pStyle w:val="Cabealho"/>
        <w:jc w:val="both"/>
        <w:rPr>
          <w:sz w:val="24"/>
          <w:szCs w:val="24"/>
        </w:rPr>
      </w:pPr>
    </w:p>
    <w:p w:rsidR="00E05E7D" w:rsidRPr="00E05E7D" w:rsidRDefault="00E05E7D" w:rsidP="00E05E7D">
      <w:pPr>
        <w:pStyle w:val="Cabealho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 xml:space="preserve">A </w:t>
      </w:r>
      <w:r w:rsidRPr="00BE3542">
        <w:rPr>
          <w:b/>
          <w:sz w:val="24"/>
          <w:szCs w:val="24"/>
        </w:rPr>
        <w:t>MESA DA CÂMARA DOS DEPUTADOS</w:t>
      </w:r>
      <w:r w:rsidRPr="00E05E7D">
        <w:rPr>
          <w:sz w:val="24"/>
          <w:szCs w:val="24"/>
        </w:rPr>
        <w:t xml:space="preserve">, por ato de seu Presidente </w:t>
      </w:r>
      <w:r w:rsidRPr="00BE3542">
        <w:rPr>
          <w:i/>
          <w:sz w:val="24"/>
          <w:szCs w:val="24"/>
        </w:rPr>
        <w:t>ad referendum</w:t>
      </w:r>
      <w:r w:rsidRPr="00E05E7D">
        <w:rPr>
          <w:sz w:val="24"/>
          <w:szCs w:val="24"/>
        </w:rPr>
        <w:t xml:space="preserve">, no uso das atribuições conferidas pelo art. 51, IV, da Constituição, o inciso I e parágrafo único do art. 15 da Resolução n. 17, de 1989 (Regimento Interno) e com base nas medidas de proteção à coletividade dispostas na Lei n. 13.979, de 6 de fevereiro de 2020, resolve: </w:t>
      </w: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927EC7" w:rsidRDefault="00BE3542" w:rsidP="00BE3542">
      <w:pPr>
        <w:pStyle w:val="Cabealho"/>
        <w:ind w:firstLine="1134"/>
        <w:jc w:val="both"/>
        <w:rPr>
          <w:sz w:val="24"/>
          <w:szCs w:val="24"/>
        </w:rPr>
      </w:pPr>
      <w:r w:rsidRPr="00927EC7">
        <w:rPr>
          <w:sz w:val="24"/>
          <w:szCs w:val="24"/>
        </w:rPr>
        <w:t>Art. 1° Observadas as normas sanitárias, a segurança no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ambiente de trabalho e os critérios de saúde coletiva, os serviços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presenciais de apoio ao plenário e às comissões permanentes,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temporárias e mistas e os demais serviços administrativos da Câmara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dos Deputados deverão ser prestados em regime de turnos de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revezamento, na forma do disposto no Ato da Mesa nº 163, de 19 de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fevereiro de 202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 xml:space="preserve">1, sem prejuízo do regime de </w:t>
      </w:r>
      <w:proofErr w:type="spellStart"/>
      <w:r w:rsidRPr="00927EC7">
        <w:rPr>
          <w:sz w:val="24"/>
          <w:szCs w:val="24"/>
        </w:rPr>
        <w:t>teletrabalho</w:t>
      </w:r>
      <w:proofErr w:type="spellEnd"/>
      <w:r w:rsidRPr="00927EC7">
        <w:rPr>
          <w:sz w:val="24"/>
          <w:szCs w:val="24"/>
        </w:rPr>
        <w:t>, em caráter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provisório, na Câmara dos Deputados, a que se refere o art. 16 do</w:t>
      </w:r>
      <w:r w:rsidR="006009FF" w:rsidRPr="00927EC7">
        <w:rPr>
          <w:sz w:val="24"/>
          <w:szCs w:val="24"/>
        </w:rPr>
        <w:t xml:space="preserve"> </w:t>
      </w:r>
      <w:r w:rsidRPr="00927EC7">
        <w:rPr>
          <w:sz w:val="24"/>
          <w:szCs w:val="24"/>
        </w:rPr>
        <w:t>mesmo Ato</w:t>
      </w:r>
      <w:r w:rsidR="00E05E7D" w:rsidRPr="00927EC7">
        <w:rPr>
          <w:sz w:val="24"/>
          <w:szCs w:val="24"/>
        </w:rPr>
        <w:t xml:space="preserve">. </w:t>
      </w:r>
      <w:hyperlink r:id="rId8" w:history="1">
        <w:r w:rsidR="006009FF" w:rsidRPr="00927EC7">
          <w:rPr>
            <w:rStyle w:val="Hyperlink"/>
            <w:i/>
            <w:sz w:val="24"/>
            <w:szCs w:val="24"/>
          </w:rPr>
          <w:t>(“Caput” do artigo com redação dada pelo Ato da Mesa nº 191, de 3/5/2021, produzindo efeitos a partir de 10/5/2021)</w:t>
        </w:r>
      </w:hyperlink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927EC7">
        <w:rPr>
          <w:sz w:val="24"/>
          <w:szCs w:val="24"/>
        </w:rPr>
        <w:t xml:space="preserve">Parágrafo único. </w:t>
      </w:r>
      <w:hyperlink r:id="rId9" w:history="1">
        <w:r w:rsidR="0032003F" w:rsidRPr="00927EC7">
          <w:rPr>
            <w:rStyle w:val="Hyperlink"/>
            <w:i/>
            <w:sz w:val="24"/>
            <w:szCs w:val="24"/>
          </w:rPr>
          <w:t>(Revogado pelo Ato da Mesa nº 191, de 3/5/2021, produzindo efeitos a partir de 10/5/2021)</w:t>
        </w:r>
      </w:hyperlink>
      <w:r w:rsidRPr="00E05E7D">
        <w:rPr>
          <w:sz w:val="24"/>
          <w:szCs w:val="24"/>
        </w:rPr>
        <w:t xml:space="preserve"> </w:t>
      </w:r>
    </w:p>
    <w:p w:rsidR="0032003F" w:rsidRDefault="0032003F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927EC7" w:rsidRDefault="00E05E7D" w:rsidP="00BE3542">
      <w:pPr>
        <w:pStyle w:val="Cabealho"/>
        <w:ind w:firstLine="1134"/>
        <w:jc w:val="both"/>
        <w:rPr>
          <w:i/>
          <w:sz w:val="24"/>
          <w:szCs w:val="24"/>
        </w:rPr>
      </w:pPr>
      <w:r w:rsidRPr="00927EC7">
        <w:rPr>
          <w:sz w:val="24"/>
          <w:szCs w:val="24"/>
        </w:rPr>
        <w:t xml:space="preserve">Art. 2° </w:t>
      </w:r>
      <w:r w:rsidR="00BE3542" w:rsidRPr="00927EC7">
        <w:rPr>
          <w:sz w:val="24"/>
          <w:szCs w:val="24"/>
        </w:rPr>
        <w:t xml:space="preserve">Deve ser garantida prioritariamente a prestação dos serviços de apoio ao plenário e às comissões permanentes, temporárias e mistas, inclusive de forma presencial. </w:t>
      </w:r>
      <w:hyperlink r:id="rId10" w:history="1">
        <w:r w:rsidR="00BE3542" w:rsidRPr="00927EC7">
          <w:rPr>
            <w:rStyle w:val="Hyperlink"/>
            <w:i/>
            <w:sz w:val="24"/>
            <w:szCs w:val="24"/>
          </w:rPr>
          <w:t>(Artigo com redação dada pelo Ato da Mesa nº 191, de 3/5/2021, produzindo efeitos a partir de 10/5/2021)</w:t>
        </w:r>
      </w:hyperlink>
    </w:p>
    <w:p w:rsidR="00E05E7D" w:rsidRPr="00927EC7" w:rsidRDefault="00E05E7D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>Art. 3° Sem prejuízo do disposto no art. 13 do Ato da Mesa nº 163, de 2021, as empresas prestadoras de serviço poderão organizar turnos de revezamento, inclusive com o uso de banco de horas, para o fim de manter o funcionamento das atividades essenciais da Câmara dos Deputados.</w:t>
      </w: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 xml:space="preserve">Art. 4° Compete à Diretoria-Geral adotar todas as medidas necessárias ao cumprimento deste Ato. </w:t>
      </w: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 xml:space="preserve">Art. 5° Este Ato entra em vigor na data de sua publicação. </w:t>
      </w:r>
    </w:p>
    <w:p w:rsidR="00E05E7D" w:rsidRDefault="00E05E7D" w:rsidP="00E05E7D">
      <w:pPr>
        <w:pStyle w:val="Cabealho"/>
        <w:jc w:val="both"/>
        <w:rPr>
          <w:sz w:val="24"/>
          <w:szCs w:val="24"/>
        </w:rPr>
      </w:pPr>
    </w:p>
    <w:p w:rsidR="00474AB8" w:rsidRPr="00E05E7D" w:rsidRDefault="00474AB8" w:rsidP="00E05E7D">
      <w:pPr>
        <w:pStyle w:val="Cabealho"/>
        <w:jc w:val="both"/>
        <w:rPr>
          <w:sz w:val="24"/>
          <w:szCs w:val="24"/>
        </w:rPr>
      </w:pPr>
    </w:p>
    <w:p w:rsidR="00E05E7D" w:rsidRPr="00BE3542" w:rsidRDefault="00E05E7D" w:rsidP="00BE3542">
      <w:pPr>
        <w:pStyle w:val="Cabealho"/>
        <w:keepNext/>
        <w:jc w:val="center"/>
        <w:rPr>
          <w:b/>
          <w:sz w:val="24"/>
          <w:szCs w:val="24"/>
        </w:rPr>
      </w:pPr>
      <w:r w:rsidRPr="00BE3542">
        <w:rPr>
          <w:b/>
          <w:sz w:val="24"/>
          <w:szCs w:val="24"/>
        </w:rPr>
        <w:t>JUSTIFICAÇÃO</w:t>
      </w:r>
    </w:p>
    <w:p w:rsidR="00E05E7D" w:rsidRPr="00E05E7D" w:rsidRDefault="00E05E7D" w:rsidP="00BE3542">
      <w:pPr>
        <w:pStyle w:val="Cabealho"/>
        <w:keepNext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 xml:space="preserve">O presente Ato da Mesa determina a suspensão temporária e excepcional da retomada gradual das atividades presenciais em função do agravamento da emergência de saúde pública de importância internacional relacionada ao </w:t>
      </w:r>
      <w:proofErr w:type="spellStart"/>
      <w:r w:rsidRPr="00E05E7D">
        <w:rPr>
          <w:sz w:val="24"/>
          <w:szCs w:val="24"/>
        </w:rPr>
        <w:t>coronavírus</w:t>
      </w:r>
      <w:proofErr w:type="spellEnd"/>
      <w:r w:rsidRPr="00E05E7D">
        <w:rPr>
          <w:sz w:val="24"/>
          <w:szCs w:val="24"/>
        </w:rPr>
        <w:t xml:space="preserve"> (Covid-19) na Câmara dos Deputados.</w:t>
      </w: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</w:p>
    <w:p w:rsidR="00E05E7D" w:rsidRPr="00E05E7D" w:rsidRDefault="00E05E7D" w:rsidP="00BE3542">
      <w:pPr>
        <w:pStyle w:val="Cabealho"/>
        <w:ind w:firstLine="1134"/>
        <w:jc w:val="both"/>
        <w:rPr>
          <w:sz w:val="24"/>
          <w:szCs w:val="24"/>
        </w:rPr>
      </w:pPr>
      <w:r w:rsidRPr="00E05E7D">
        <w:rPr>
          <w:sz w:val="24"/>
          <w:szCs w:val="24"/>
        </w:rPr>
        <w:t>Presidência, em 1º de março de 2021.</w:t>
      </w:r>
    </w:p>
    <w:p w:rsidR="00E05E7D" w:rsidRPr="00E05E7D" w:rsidRDefault="00E05E7D" w:rsidP="00E05E7D">
      <w:pPr>
        <w:pStyle w:val="Cabealho"/>
        <w:jc w:val="both"/>
        <w:rPr>
          <w:sz w:val="24"/>
          <w:szCs w:val="24"/>
        </w:rPr>
      </w:pPr>
    </w:p>
    <w:p w:rsidR="00E05E7D" w:rsidRPr="00BE3542" w:rsidRDefault="00E05E7D" w:rsidP="00BE3542">
      <w:pPr>
        <w:pStyle w:val="Cabealho"/>
        <w:jc w:val="center"/>
        <w:rPr>
          <w:b/>
          <w:sz w:val="24"/>
          <w:szCs w:val="24"/>
        </w:rPr>
      </w:pPr>
      <w:r w:rsidRPr="00BE3542">
        <w:rPr>
          <w:b/>
          <w:sz w:val="24"/>
          <w:szCs w:val="24"/>
        </w:rPr>
        <w:t>Deputado ARTHUR LIRA</w:t>
      </w:r>
    </w:p>
    <w:p w:rsidR="00A81702" w:rsidRDefault="00E05E7D" w:rsidP="00BE3542">
      <w:pPr>
        <w:pStyle w:val="Cabealho"/>
        <w:jc w:val="center"/>
        <w:rPr>
          <w:sz w:val="24"/>
          <w:szCs w:val="24"/>
        </w:rPr>
      </w:pPr>
      <w:r w:rsidRPr="00E05E7D">
        <w:rPr>
          <w:sz w:val="24"/>
          <w:szCs w:val="24"/>
        </w:rPr>
        <w:t>Presidente</w:t>
      </w:r>
    </w:p>
    <w:sectPr w:rsidR="00A8170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5491A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5B06"/>
    <w:rsid w:val="002E70DF"/>
    <w:rsid w:val="00314125"/>
    <w:rsid w:val="0032003F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0529"/>
    <w:rsid w:val="003D35BC"/>
    <w:rsid w:val="003F3F69"/>
    <w:rsid w:val="0040208F"/>
    <w:rsid w:val="00435FBD"/>
    <w:rsid w:val="00440636"/>
    <w:rsid w:val="004548EA"/>
    <w:rsid w:val="00465FB3"/>
    <w:rsid w:val="00470F5F"/>
    <w:rsid w:val="00474AB8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09FF"/>
    <w:rsid w:val="00602398"/>
    <w:rsid w:val="006024C4"/>
    <w:rsid w:val="00607D21"/>
    <w:rsid w:val="00616E92"/>
    <w:rsid w:val="006216D2"/>
    <w:rsid w:val="00641CE8"/>
    <w:rsid w:val="00642F39"/>
    <w:rsid w:val="00644E1F"/>
    <w:rsid w:val="00651582"/>
    <w:rsid w:val="00660673"/>
    <w:rsid w:val="006637F4"/>
    <w:rsid w:val="006C1DF3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B4ABD"/>
    <w:rsid w:val="007C66B0"/>
    <w:rsid w:val="007D7D15"/>
    <w:rsid w:val="007E0856"/>
    <w:rsid w:val="007E79C2"/>
    <w:rsid w:val="007F111E"/>
    <w:rsid w:val="008119B6"/>
    <w:rsid w:val="008233DA"/>
    <w:rsid w:val="008312F8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E66C2"/>
    <w:rsid w:val="008F51DC"/>
    <w:rsid w:val="00927EC7"/>
    <w:rsid w:val="00951C6A"/>
    <w:rsid w:val="00967956"/>
    <w:rsid w:val="009949A2"/>
    <w:rsid w:val="00997852"/>
    <w:rsid w:val="009C5B81"/>
    <w:rsid w:val="009D26E2"/>
    <w:rsid w:val="009E2F21"/>
    <w:rsid w:val="009F1493"/>
    <w:rsid w:val="00A26D07"/>
    <w:rsid w:val="00A270C0"/>
    <w:rsid w:val="00A40F84"/>
    <w:rsid w:val="00A43F13"/>
    <w:rsid w:val="00A54BF7"/>
    <w:rsid w:val="00A60C8A"/>
    <w:rsid w:val="00A6215D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34CB4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542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05E7D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E1D079-F467-4FDD-8014-EA1618C6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6C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1/atodamesa-191-3-maio-2021-791321-publicacaooriginal-162760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1/atodamesa-207-21-outubro-2021-791896-publicacaooriginal-163678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atomes/2021/atodamesa-191-3-maio-2021-791321-publicacaooriginal-162760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1/atodamesa-191-3-maio-2021-791321-publicacaooriginal-162760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3108</CharactersWithSpaces>
  <SharedDoc>false</SharedDoc>
  <HLinks>
    <vt:vector size="24" baseType="variant">
      <vt:variant>
        <vt:i4>6160458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https://www2.camara.leg.br/legin/int/atomes/2021/atodamesa-191-3-maio-2021-791321-publicacaooriginal-162760-cd-mesa.html</vt:lpwstr>
      </vt:variant>
      <vt:variant>
        <vt:lpwstr/>
      </vt:variant>
      <vt:variant>
        <vt:i4>6160458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https://www2.camara.leg.br/legin/int/atomes/2021/atodamesa-191-3-maio-2021-791321-publicacaooriginal-162760-cd-mesa.html</vt:lpwstr>
      </vt:variant>
      <vt:variant>
        <vt:lpwstr/>
      </vt:variant>
      <vt:variant>
        <vt:i4>6160458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https://www2.camara.leg.br/legin/int/atomes/2021/atodamesa-191-3-maio-2021-791321-publicacaooriginal-162760-cd-mesa.html</vt:lpwstr>
      </vt:variant>
      <vt:variant>
        <vt:lpwstr/>
      </vt:variant>
      <vt:variant>
        <vt:i4>655426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2025-11-20T18:32:00Z</dcterms:created>
  <dcterms:modified xsi:type="dcterms:W3CDTF">2025-11-20T18:32:00Z</dcterms:modified>
</cp:coreProperties>
</file>