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7076"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BD6ADA" w:rsidRDefault="00BD6ADA" w:rsidP="00BD6ADA">
      <w:pPr>
        <w:pStyle w:val="Cabealho"/>
        <w:jc w:val="both"/>
        <w:rPr>
          <w:sz w:val="24"/>
          <w:szCs w:val="24"/>
        </w:rPr>
      </w:pPr>
    </w:p>
    <w:p w:rsidR="004558E9" w:rsidRDefault="004558E9" w:rsidP="00BD6ADA">
      <w:pPr>
        <w:pStyle w:val="Cabealho"/>
        <w:jc w:val="both"/>
        <w:rPr>
          <w:sz w:val="24"/>
          <w:szCs w:val="24"/>
        </w:rPr>
      </w:pPr>
    </w:p>
    <w:p w:rsidR="007C506D" w:rsidRPr="004558E9" w:rsidRDefault="007C506D" w:rsidP="004558E9">
      <w:pPr>
        <w:pStyle w:val="Cabealho"/>
        <w:jc w:val="center"/>
        <w:rPr>
          <w:b/>
          <w:sz w:val="28"/>
          <w:szCs w:val="28"/>
        </w:rPr>
      </w:pPr>
      <w:r w:rsidRPr="004558E9">
        <w:rPr>
          <w:b/>
          <w:sz w:val="28"/>
          <w:szCs w:val="28"/>
        </w:rPr>
        <w:t>ATO DA MESA Nº 67, DE 10/12/2015</w:t>
      </w:r>
    </w:p>
    <w:p w:rsidR="007C506D" w:rsidRPr="007C506D" w:rsidRDefault="007C506D" w:rsidP="007C506D">
      <w:pPr>
        <w:pStyle w:val="Cabealho"/>
        <w:jc w:val="both"/>
        <w:rPr>
          <w:sz w:val="24"/>
          <w:szCs w:val="24"/>
        </w:rPr>
      </w:pPr>
    </w:p>
    <w:p w:rsidR="007C506D" w:rsidRPr="007C506D" w:rsidRDefault="007C506D" w:rsidP="007C506D">
      <w:pPr>
        <w:pStyle w:val="Cabealho"/>
        <w:jc w:val="both"/>
        <w:rPr>
          <w:sz w:val="24"/>
          <w:szCs w:val="24"/>
        </w:rPr>
      </w:pPr>
    </w:p>
    <w:p w:rsidR="007C506D" w:rsidRPr="007C506D" w:rsidRDefault="007C506D" w:rsidP="004558E9">
      <w:pPr>
        <w:pStyle w:val="Cabealho"/>
        <w:ind w:left="4536"/>
        <w:jc w:val="both"/>
        <w:rPr>
          <w:sz w:val="24"/>
          <w:szCs w:val="24"/>
        </w:rPr>
      </w:pPr>
      <w:r w:rsidRPr="007C506D">
        <w:rPr>
          <w:sz w:val="24"/>
          <w:szCs w:val="24"/>
        </w:rPr>
        <w:t xml:space="preserve">Dispõe sobre a reserva técnica de imóveis funcionais da União administrados pela Câmara dos Deputados. </w:t>
      </w:r>
    </w:p>
    <w:p w:rsidR="007C506D" w:rsidRPr="007C506D" w:rsidRDefault="007C506D" w:rsidP="007C506D">
      <w:pPr>
        <w:pStyle w:val="Cabealho"/>
        <w:jc w:val="both"/>
        <w:rPr>
          <w:sz w:val="24"/>
          <w:szCs w:val="24"/>
        </w:rPr>
      </w:pPr>
    </w:p>
    <w:p w:rsidR="007C506D" w:rsidRPr="007C506D" w:rsidRDefault="007C506D" w:rsidP="007C506D">
      <w:pPr>
        <w:pStyle w:val="Cabealho"/>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A MESA DA CÂMARA DOS DEPUTADOS, no uso de suas atribuições, resolve: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Art. 1º Devolver à Secretaria do Patrimônio da União (SPU) do Ministério do Planejamento, Orçamento e Gestão os imóveis funcionais constantes dos Anexos I e II deste Ato. </w:t>
      </w:r>
    </w:p>
    <w:p w:rsidR="007C506D" w:rsidRPr="007C506D" w:rsidRDefault="007C506D" w:rsidP="004558E9">
      <w:pPr>
        <w:pStyle w:val="Cabealho"/>
        <w:ind w:firstLine="1134"/>
        <w:jc w:val="both"/>
        <w:rPr>
          <w:sz w:val="24"/>
          <w:szCs w:val="24"/>
        </w:rPr>
      </w:pPr>
      <w:r w:rsidRPr="007C506D">
        <w:rPr>
          <w:sz w:val="24"/>
          <w:szCs w:val="24"/>
        </w:rPr>
        <w:t xml:space="preserve">§ 1º Os imóveis funcionais constantes do Anexo I deste Ato deverão ser restituídos à SPU de imediato, visto estarem desocupados. </w:t>
      </w:r>
    </w:p>
    <w:p w:rsidR="007C506D" w:rsidRPr="007C506D" w:rsidRDefault="007C506D" w:rsidP="004558E9">
      <w:pPr>
        <w:pStyle w:val="Cabealho"/>
        <w:ind w:firstLine="1134"/>
        <w:jc w:val="both"/>
        <w:rPr>
          <w:sz w:val="24"/>
          <w:szCs w:val="24"/>
        </w:rPr>
      </w:pPr>
      <w:r w:rsidRPr="007C506D">
        <w:rPr>
          <w:sz w:val="24"/>
          <w:szCs w:val="24"/>
        </w:rPr>
        <w:t xml:space="preserve">§ 2º Os imóveis funcionais constantes do Anexo II deste Ato serão restituídos à SPU na medida em que forem desocupados.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Art. 2º Devolver ao Governo do Distrito Federal (GDF) o imóvel funcional constante do Anexo III deste Ato.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Art. 3º Manter os imóveis constantes do Anexo IV, alterando sua destinação para residência de parlamentares, na medida em que forem desocupados. </w:t>
      </w:r>
    </w:p>
    <w:p w:rsidR="007C506D" w:rsidRPr="004558E9" w:rsidRDefault="004558E9" w:rsidP="004558E9">
      <w:pPr>
        <w:pStyle w:val="Cabealho"/>
        <w:ind w:firstLine="1134"/>
        <w:jc w:val="both"/>
        <w:rPr>
          <w:i/>
          <w:sz w:val="24"/>
          <w:szCs w:val="24"/>
        </w:rPr>
      </w:pPr>
      <w:r w:rsidRPr="004558E9">
        <w:rPr>
          <w:sz w:val="24"/>
          <w:szCs w:val="24"/>
        </w:rPr>
        <w:t xml:space="preserve">Parágrafo único. A ocupação por parlamentares dos imóveis de que trata o </w:t>
      </w:r>
      <w:r w:rsidRPr="004558E9">
        <w:rPr>
          <w:i/>
          <w:sz w:val="24"/>
          <w:szCs w:val="24"/>
        </w:rPr>
        <w:t>caput</w:t>
      </w:r>
      <w:r w:rsidRPr="004558E9">
        <w:rPr>
          <w:sz w:val="24"/>
          <w:szCs w:val="24"/>
        </w:rPr>
        <w:t xml:space="preserve"> deste artigo é regida pelo Ato da Mesa nº 5, de 5 de maio de 2011.</w:t>
      </w:r>
      <w:r>
        <w:rPr>
          <w:sz w:val="24"/>
          <w:szCs w:val="24"/>
        </w:rPr>
        <w:t xml:space="preserve"> </w:t>
      </w:r>
      <w:hyperlink r:id="rId7" w:history="1">
        <w:r w:rsidRPr="004558E9">
          <w:rPr>
            <w:rStyle w:val="Hyperlink"/>
            <w:i/>
            <w:sz w:val="24"/>
            <w:szCs w:val="24"/>
          </w:rPr>
          <w:t>(Parágrafo único acrescido pelo Ato da Mesa nº 118, de 13/9/2016)</w:t>
        </w:r>
      </w:hyperlink>
    </w:p>
    <w:p w:rsidR="004558E9" w:rsidRPr="007C506D" w:rsidRDefault="004558E9"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Art. 4º Fica revogado o art. 12 do Ato da Mesa nº 46, de 7 de julho de 2009. </w:t>
      </w:r>
    </w:p>
    <w:p w:rsidR="007C506D" w:rsidRPr="007C506D" w:rsidRDefault="007C506D" w:rsidP="004558E9">
      <w:pPr>
        <w:pStyle w:val="Cabealho"/>
        <w:ind w:firstLine="1134"/>
        <w:jc w:val="both"/>
        <w:rPr>
          <w:sz w:val="24"/>
          <w:szCs w:val="24"/>
        </w:rPr>
      </w:pPr>
    </w:p>
    <w:p w:rsidR="007C506D" w:rsidRDefault="007C506D" w:rsidP="004558E9">
      <w:pPr>
        <w:pStyle w:val="Cabealho"/>
        <w:ind w:firstLine="1134"/>
        <w:jc w:val="both"/>
        <w:rPr>
          <w:sz w:val="24"/>
          <w:szCs w:val="24"/>
        </w:rPr>
      </w:pPr>
      <w:r w:rsidRPr="007C506D">
        <w:rPr>
          <w:sz w:val="24"/>
          <w:szCs w:val="24"/>
        </w:rPr>
        <w:t>Art. 5º Este Ato entra em vigor na data de sua publicação.</w:t>
      </w:r>
    </w:p>
    <w:p w:rsidR="00774071" w:rsidRDefault="00774071" w:rsidP="004558E9">
      <w:pPr>
        <w:pStyle w:val="Cabealho"/>
        <w:ind w:firstLine="1134"/>
        <w:jc w:val="both"/>
        <w:rPr>
          <w:sz w:val="24"/>
          <w:szCs w:val="24"/>
        </w:rPr>
      </w:pPr>
    </w:p>
    <w:p w:rsidR="00774071" w:rsidRDefault="00774071" w:rsidP="004558E9">
      <w:pPr>
        <w:pStyle w:val="Cabealho"/>
        <w:ind w:firstLine="1134"/>
        <w:jc w:val="both"/>
        <w:rPr>
          <w:sz w:val="24"/>
          <w:szCs w:val="24"/>
        </w:rPr>
      </w:pPr>
    </w:p>
    <w:p w:rsidR="00E06FBE" w:rsidRPr="00A87282" w:rsidRDefault="00E06FBE" w:rsidP="00E06FBE">
      <w:pPr>
        <w:pStyle w:val="Cabealho"/>
        <w:jc w:val="center"/>
        <w:rPr>
          <w:b/>
          <w:sz w:val="24"/>
          <w:szCs w:val="24"/>
        </w:rPr>
      </w:pPr>
      <w:r w:rsidRPr="00A87282">
        <w:rPr>
          <w:b/>
          <w:sz w:val="24"/>
          <w:szCs w:val="24"/>
        </w:rPr>
        <w:t>ANEXO</w:t>
      </w:r>
      <w:r w:rsidR="00DC01DD">
        <w:rPr>
          <w:b/>
          <w:sz w:val="24"/>
          <w:szCs w:val="24"/>
        </w:rPr>
        <w:t xml:space="preserve"> I</w:t>
      </w:r>
    </w:p>
    <w:p w:rsidR="00DC01DD" w:rsidRDefault="00DC01DD" w:rsidP="004558E9">
      <w:pPr>
        <w:pStyle w:val="Cabealho"/>
        <w:ind w:firstLine="1134"/>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448"/>
        <w:gridCol w:w="1984"/>
      </w:tblGrid>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b/>
                <w:bCs/>
                <w:color w:val="2F2C2E"/>
                <w:sz w:val="22"/>
                <w:szCs w:val="22"/>
              </w:rPr>
              <w:t>Nº</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b/>
                <w:bCs/>
                <w:color w:val="2F2C2E"/>
                <w:sz w:val="22"/>
                <w:szCs w:val="22"/>
              </w:rPr>
              <w:t>ENDEREÇO</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b/>
                <w:bCs/>
                <w:color w:val="2F2C2E"/>
                <w:sz w:val="22"/>
                <w:szCs w:val="22"/>
              </w:rPr>
              <w:t>SITUAÇÃO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01</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Q. 18-E-09 Sobradinho</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02</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Q. 18-</w:t>
            </w:r>
            <w:r w:rsidR="00426CB7" w:rsidRPr="00326981">
              <w:rPr>
                <w:rFonts w:ascii="Arial" w:hAnsi="Arial" w:cs="Arial"/>
                <w:sz w:val="22"/>
                <w:szCs w:val="22"/>
              </w:rPr>
              <w:t>O</w:t>
            </w:r>
            <w:r w:rsidRPr="00326981">
              <w:rPr>
                <w:rFonts w:ascii="Arial" w:hAnsi="Arial" w:cs="Arial"/>
                <w:sz w:val="22"/>
                <w:szCs w:val="22"/>
              </w:rPr>
              <w:t>-08 Sobradinho</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03</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SHCES 1305-B-402</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lastRenderedPageBreak/>
              <w:t>04</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SHCES 913-F-401</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05</w:t>
            </w:r>
          </w:p>
        </w:tc>
        <w:tc>
          <w:tcPr>
            <w:tcW w:w="3448" w:type="dxa"/>
            <w:shd w:val="clear" w:color="auto" w:fill="auto"/>
          </w:tcPr>
          <w:p w:rsidR="00DC01DD" w:rsidRPr="00326981" w:rsidRDefault="00FD2DA4"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SHCES 11</w:t>
            </w:r>
            <w:r w:rsidR="00DC01DD" w:rsidRPr="00326981">
              <w:rPr>
                <w:rFonts w:ascii="Arial" w:hAnsi="Arial" w:cs="Arial"/>
                <w:sz w:val="22"/>
                <w:szCs w:val="22"/>
                <w:lang w:val="en-US"/>
              </w:rPr>
              <w:t>03-B-302</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06</w:t>
            </w:r>
          </w:p>
        </w:tc>
        <w:tc>
          <w:tcPr>
            <w:tcW w:w="3448" w:type="dxa"/>
            <w:shd w:val="clear" w:color="auto" w:fill="auto"/>
          </w:tcPr>
          <w:p w:rsidR="00DC01DD" w:rsidRPr="00326981" w:rsidRDefault="00FD2DA4"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SHCES 11</w:t>
            </w:r>
            <w:r w:rsidR="00DC01DD" w:rsidRPr="00326981">
              <w:rPr>
                <w:rFonts w:ascii="Arial" w:hAnsi="Arial" w:cs="Arial"/>
                <w:sz w:val="22"/>
                <w:szCs w:val="22"/>
                <w:lang w:val="en-US"/>
              </w:rPr>
              <w:t>05-F-203</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07</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SHCES 1209-G-203</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08</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SHCES 1209-J-406</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09</w:t>
            </w:r>
          </w:p>
        </w:tc>
        <w:tc>
          <w:tcPr>
            <w:tcW w:w="3448" w:type="dxa"/>
            <w:shd w:val="clear" w:color="auto" w:fill="auto"/>
          </w:tcPr>
          <w:p w:rsidR="00DC01DD" w:rsidRPr="00326981" w:rsidRDefault="00FD2DA4"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SQN 1</w:t>
            </w:r>
            <w:r w:rsidR="00DC01DD" w:rsidRPr="00326981">
              <w:rPr>
                <w:rFonts w:ascii="Arial" w:hAnsi="Arial" w:cs="Arial"/>
                <w:sz w:val="22"/>
                <w:szCs w:val="22"/>
                <w:lang w:val="en-US"/>
              </w:rPr>
              <w:t>05-H-609</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10</w:t>
            </w:r>
          </w:p>
        </w:tc>
        <w:tc>
          <w:tcPr>
            <w:tcW w:w="3448" w:type="dxa"/>
            <w:shd w:val="clear" w:color="auto" w:fill="auto"/>
          </w:tcPr>
          <w:p w:rsidR="00DC01DD" w:rsidRPr="00326981" w:rsidRDefault="00FD2DA4"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SQN 1</w:t>
            </w:r>
            <w:r w:rsidR="00DC01DD" w:rsidRPr="00326981">
              <w:rPr>
                <w:rFonts w:ascii="Arial" w:hAnsi="Arial" w:cs="Arial"/>
                <w:sz w:val="22"/>
                <w:szCs w:val="22"/>
                <w:lang w:val="en-US"/>
              </w:rPr>
              <w:t>08-A-203</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11</w:t>
            </w:r>
          </w:p>
        </w:tc>
        <w:tc>
          <w:tcPr>
            <w:tcW w:w="3448" w:type="dxa"/>
            <w:shd w:val="clear" w:color="auto" w:fill="auto"/>
          </w:tcPr>
          <w:p w:rsidR="00DC01DD" w:rsidRPr="00326981" w:rsidRDefault="00FD2DA4"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SQN 1</w:t>
            </w:r>
            <w:r w:rsidR="00DC01DD" w:rsidRPr="00326981">
              <w:rPr>
                <w:rFonts w:ascii="Arial" w:hAnsi="Arial" w:cs="Arial"/>
                <w:sz w:val="22"/>
                <w:szCs w:val="22"/>
                <w:lang w:val="en-US"/>
              </w:rPr>
              <w:t>08-F-503</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12</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SQN 112-A-201</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13</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SQN 112-C-201</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14</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lang w:val="en-US"/>
              </w:rPr>
            </w:pPr>
            <w:r w:rsidRPr="00326981">
              <w:rPr>
                <w:rFonts w:ascii="Arial" w:hAnsi="Arial" w:cs="Arial"/>
                <w:sz w:val="22"/>
                <w:szCs w:val="22"/>
                <w:lang w:val="en-US"/>
              </w:rPr>
              <w:t>SQN 112-C-408</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15</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SQN 412-D-305</w:t>
            </w:r>
          </w:p>
        </w:tc>
        <w:tc>
          <w:tcPr>
            <w:tcW w:w="1984"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r w:rsidR="00DC01DD" w:rsidRPr="00326981" w:rsidTr="00326981">
        <w:trPr>
          <w:jc w:val="center"/>
        </w:trPr>
        <w:tc>
          <w:tcPr>
            <w:tcW w:w="663"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16</w:t>
            </w:r>
          </w:p>
        </w:tc>
        <w:tc>
          <w:tcPr>
            <w:tcW w:w="3448" w:type="dxa"/>
            <w:shd w:val="clear" w:color="auto" w:fill="auto"/>
          </w:tcPr>
          <w:p w:rsidR="00DC01DD" w:rsidRPr="00326981" w:rsidRDefault="00DC01DD" w:rsidP="00326981">
            <w:pPr>
              <w:pStyle w:val="Cabealho"/>
              <w:spacing w:before="40" w:after="40"/>
              <w:jc w:val="center"/>
              <w:rPr>
                <w:rFonts w:ascii="Arial" w:hAnsi="Arial" w:cs="Arial"/>
                <w:sz w:val="22"/>
                <w:szCs w:val="22"/>
              </w:rPr>
            </w:pPr>
            <w:r w:rsidRPr="00326981">
              <w:rPr>
                <w:rFonts w:ascii="Arial" w:hAnsi="Arial" w:cs="Arial"/>
                <w:sz w:val="22"/>
                <w:szCs w:val="22"/>
              </w:rPr>
              <w:t>SQS 215-G-607</w:t>
            </w:r>
          </w:p>
        </w:tc>
        <w:tc>
          <w:tcPr>
            <w:tcW w:w="1984" w:type="dxa"/>
            <w:shd w:val="clear" w:color="auto" w:fill="auto"/>
          </w:tcPr>
          <w:p w:rsidR="00DC01DD" w:rsidRPr="00326981" w:rsidRDefault="00DC01DD" w:rsidP="00326981">
            <w:pPr>
              <w:spacing w:before="40" w:after="40"/>
              <w:jc w:val="center"/>
              <w:rPr>
                <w:rFonts w:ascii="Arial" w:hAnsi="Arial" w:cs="Arial"/>
                <w:sz w:val="22"/>
                <w:szCs w:val="22"/>
              </w:rPr>
            </w:pPr>
            <w:r w:rsidRPr="00326981">
              <w:rPr>
                <w:rFonts w:ascii="Arial" w:hAnsi="Arial" w:cs="Arial"/>
                <w:sz w:val="22"/>
                <w:szCs w:val="22"/>
              </w:rPr>
              <w:t>Desocupado</w:t>
            </w:r>
          </w:p>
        </w:tc>
      </w:tr>
    </w:tbl>
    <w:p w:rsidR="00DC01DD" w:rsidRDefault="00DC01DD" w:rsidP="004558E9">
      <w:pPr>
        <w:pStyle w:val="Cabealho"/>
        <w:ind w:firstLine="1134"/>
        <w:jc w:val="both"/>
        <w:rPr>
          <w:sz w:val="24"/>
          <w:szCs w:val="24"/>
        </w:rPr>
      </w:pPr>
    </w:p>
    <w:p w:rsidR="00DC01DD" w:rsidRDefault="00DC01DD" w:rsidP="004558E9">
      <w:pPr>
        <w:pStyle w:val="Cabealho"/>
        <w:ind w:firstLine="1134"/>
        <w:jc w:val="both"/>
        <w:rPr>
          <w:sz w:val="24"/>
          <w:szCs w:val="24"/>
        </w:rPr>
      </w:pPr>
    </w:p>
    <w:p w:rsidR="00DC01DD" w:rsidRDefault="00DC01DD" w:rsidP="004558E9">
      <w:pPr>
        <w:pStyle w:val="Cabealho"/>
        <w:ind w:firstLine="1134"/>
        <w:jc w:val="both"/>
        <w:rPr>
          <w:sz w:val="24"/>
          <w:szCs w:val="24"/>
        </w:rPr>
      </w:pPr>
    </w:p>
    <w:p w:rsidR="00DC01DD" w:rsidRPr="00A87282" w:rsidRDefault="00DC01DD" w:rsidP="00DC01DD">
      <w:pPr>
        <w:pStyle w:val="Cabealho"/>
        <w:jc w:val="center"/>
        <w:rPr>
          <w:b/>
          <w:sz w:val="24"/>
          <w:szCs w:val="24"/>
        </w:rPr>
      </w:pPr>
      <w:r w:rsidRPr="00A87282">
        <w:rPr>
          <w:b/>
          <w:sz w:val="24"/>
          <w:szCs w:val="24"/>
        </w:rPr>
        <w:t>ANEXO</w:t>
      </w:r>
      <w:r>
        <w:rPr>
          <w:b/>
          <w:sz w:val="24"/>
          <w:szCs w:val="24"/>
        </w:rPr>
        <w:t xml:space="preserve"> </w:t>
      </w:r>
      <w:r w:rsidR="00574D67">
        <w:rPr>
          <w:b/>
          <w:sz w:val="24"/>
          <w:szCs w:val="24"/>
        </w:rPr>
        <w:t>I</w:t>
      </w:r>
      <w:r>
        <w:rPr>
          <w:b/>
          <w:sz w:val="24"/>
          <w:szCs w:val="24"/>
        </w:rPr>
        <w:t>I</w:t>
      </w:r>
    </w:p>
    <w:p w:rsidR="001766C2" w:rsidRPr="00E06FBE" w:rsidRDefault="001766C2" w:rsidP="00DC01DD">
      <w:pPr>
        <w:pStyle w:val="Cabealho"/>
        <w:jc w:val="center"/>
        <w:rPr>
          <w:i/>
          <w:sz w:val="24"/>
          <w:szCs w:val="24"/>
        </w:rPr>
      </w:pPr>
      <w:r>
        <w:rPr>
          <w:i/>
          <w:color w:val="FF0000"/>
          <w:sz w:val="24"/>
        </w:rPr>
        <w:t xml:space="preserve"> </w:t>
      </w:r>
      <w:hyperlink r:id="rId8" w:history="1">
        <w:r w:rsidRPr="00EE0E29">
          <w:rPr>
            <w:rStyle w:val="Hyperlink"/>
            <w:i/>
            <w:sz w:val="24"/>
          </w:rPr>
          <w:t>(Anexo com redação dada pelo Anexo I ao Ato da Mesa nº 102, de 29/12/2023)</w:t>
        </w:r>
      </w:hyperlink>
    </w:p>
    <w:p w:rsidR="00DC01DD" w:rsidRDefault="00DC01DD" w:rsidP="004558E9">
      <w:pPr>
        <w:pStyle w:val="Cabealho"/>
        <w:ind w:firstLine="1134"/>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448"/>
      </w:tblGrid>
      <w:tr w:rsidR="00FD2DA4" w:rsidRPr="00326981" w:rsidTr="00326981">
        <w:trPr>
          <w:jc w:val="center"/>
        </w:trPr>
        <w:tc>
          <w:tcPr>
            <w:tcW w:w="663" w:type="dxa"/>
            <w:shd w:val="clear" w:color="auto" w:fill="auto"/>
          </w:tcPr>
          <w:p w:rsidR="00FD2DA4" w:rsidRPr="00326981" w:rsidRDefault="00FD2DA4" w:rsidP="00326981">
            <w:pPr>
              <w:pStyle w:val="Cabealho"/>
              <w:spacing w:before="40" w:after="40"/>
              <w:jc w:val="center"/>
              <w:rPr>
                <w:rFonts w:ascii="Arial" w:hAnsi="Arial" w:cs="Arial"/>
                <w:sz w:val="22"/>
                <w:szCs w:val="22"/>
              </w:rPr>
            </w:pPr>
            <w:r w:rsidRPr="00326981">
              <w:rPr>
                <w:rFonts w:ascii="Arial" w:hAnsi="Arial" w:cs="Arial"/>
                <w:b/>
                <w:bCs/>
                <w:color w:val="2F2C2E"/>
                <w:sz w:val="22"/>
                <w:szCs w:val="22"/>
              </w:rPr>
              <w:t>Nº</w:t>
            </w:r>
          </w:p>
        </w:tc>
        <w:tc>
          <w:tcPr>
            <w:tcW w:w="3448" w:type="dxa"/>
            <w:shd w:val="clear" w:color="auto" w:fill="auto"/>
          </w:tcPr>
          <w:p w:rsidR="00FD2DA4" w:rsidRPr="00326981" w:rsidRDefault="00FD2DA4" w:rsidP="00326981">
            <w:pPr>
              <w:pStyle w:val="Cabealho"/>
              <w:spacing w:before="40" w:after="40"/>
              <w:jc w:val="center"/>
              <w:rPr>
                <w:rFonts w:ascii="Arial" w:hAnsi="Arial" w:cs="Arial"/>
                <w:sz w:val="22"/>
                <w:szCs w:val="22"/>
              </w:rPr>
            </w:pPr>
            <w:r w:rsidRPr="00326981">
              <w:rPr>
                <w:rFonts w:ascii="Arial" w:hAnsi="Arial" w:cs="Arial"/>
                <w:b/>
                <w:bCs/>
                <w:color w:val="2F2C2E"/>
                <w:sz w:val="22"/>
                <w:szCs w:val="22"/>
              </w:rPr>
              <w:t>ENDEREÇO</w:t>
            </w:r>
          </w:p>
        </w:tc>
      </w:tr>
      <w:tr w:rsidR="00FD2DA4" w:rsidRPr="00326981" w:rsidTr="00326981">
        <w:trPr>
          <w:jc w:val="center"/>
        </w:trPr>
        <w:tc>
          <w:tcPr>
            <w:tcW w:w="663" w:type="dxa"/>
            <w:shd w:val="clear" w:color="auto" w:fill="auto"/>
          </w:tcPr>
          <w:p w:rsidR="00FD2DA4" w:rsidRPr="00326981" w:rsidRDefault="001766C2" w:rsidP="00326981">
            <w:pPr>
              <w:pStyle w:val="Cabealho"/>
              <w:spacing w:before="40" w:after="40"/>
              <w:jc w:val="center"/>
              <w:rPr>
                <w:rFonts w:ascii="Arial" w:hAnsi="Arial" w:cs="Arial"/>
                <w:sz w:val="22"/>
                <w:szCs w:val="22"/>
              </w:rPr>
            </w:pPr>
            <w:r>
              <w:rPr>
                <w:rFonts w:ascii="Arial" w:hAnsi="Arial" w:cs="Arial"/>
                <w:sz w:val="22"/>
                <w:szCs w:val="22"/>
              </w:rPr>
              <w:t>01</w:t>
            </w:r>
          </w:p>
        </w:tc>
        <w:tc>
          <w:tcPr>
            <w:tcW w:w="3448" w:type="dxa"/>
            <w:shd w:val="clear" w:color="auto" w:fill="auto"/>
          </w:tcPr>
          <w:p w:rsidR="00FD2DA4" w:rsidRPr="00326981" w:rsidRDefault="00FD2DA4" w:rsidP="00326981">
            <w:pPr>
              <w:pStyle w:val="Cabealho"/>
              <w:spacing w:before="40" w:after="40"/>
              <w:jc w:val="center"/>
              <w:rPr>
                <w:rFonts w:ascii="Arial" w:hAnsi="Arial" w:cs="Arial"/>
                <w:sz w:val="22"/>
                <w:szCs w:val="22"/>
              </w:rPr>
            </w:pPr>
            <w:r w:rsidRPr="00326981">
              <w:rPr>
                <w:rFonts w:ascii="Arial" w:hAnsi="Arial" w:cs="Arial"/>
                <w:sz w:val="22"/>
                <w:szCs w:val="22"/>
              </w:rPr>
              <w:t>SQN 308-G-308</w:t>
            </w:r>
          </w:p>
        </w:tc>
      </w:tr>
      <w:tr w:rsidR="00FD2DA4" w:rsidRPr="00326981" w:rsidTr="00326981">
        <w:trPr>
          <w:jc w:val="center"/>
        </w:trPr>
        <w:tc>
          <w:tcPr>
            <w:tcW w:w="663" w:type="dxa"/>
            <w:shd w:val="clear" w:color="auto" w:fill="auto"/>
          </w:tcPr>
          <w:p w:rsidR="00FD2DA4" w:rsidRPr="00326981" w:rsidRDefault="001766C2" w:rsidP="00326981">
            <w:pPr>
              <w:pStyle w:val="Cabealho"/>
              <w:spacing w:before="40" w:after="40"/>
              <w:jc w:val="center"/>
              <w:rPr>
                <w:rFonts w:ascii="Arial" w:hAnsi="Arial" w:cs="Arial"/>
                <w:sz w:val="22"/>
                <w:szCs w:val="22"/>
              </w:rPr>
            </w:pPr>
            <w:r>
              <w:rPr>
                <w:rFonts w:ascii="Arial" w:hAnsi="Arial" w:cs="Arial"/>
                <w:sz w:val="22"/>
                <w:szCs w:val="22"/>
              </w:rPr>
              <w:t>02</w:t>
            </w:r>
          </w:p>
        </w:tc>
        <w:tc>
          <w:tcPr>
            <w:tcW w:w="3448" w:type="dxa"/>
            <w:shd w:val="clear" w:color="auto" w:fill="auto"/>
          </w:tcPr>
          <w:p w:rsidR="00FD2DA4" w:rsidRPr="00326981" w:rsidRDefault="00FD2DA4" w:rsidP="00326981">
            <w:pPr>
              <w:pStyle w:val="Cabealho"/>
              <w:spacing w:before="40" w:after="40"/>
              <w:jc w:val="center"/>
              <w:rPr>
                <w:rFonts w:ascii="Arial" w:hAnsi="Arial" w:cs="Arial"/>
                <w:sz w:val="22"/>
                <w:szCs w:val="22"/>
              </w:rPr>
            </w:pPr>
            <w:r w:rsidRPr="00326981">
              <w:rPr>
                <w:rFonts w:ascii="Arial" w:hAnsi="Arial" w:cs="Arial"/>
                <w:sz w:val="22"/>
                <w:szCs w:val="22"/>
              </w:rPr>
              <w:t>SQS 415-D-201</w:t>
            </w:r>
          </w:p>
        </w:tc>
      </w:tr>
    </w:tbl>
    <w:p w:rsidR="00574D67" w:rsidRDefault="00574D67" w:rsidP="004558E9">
      <w:pPr>
        <w:pStyle w:val="Cabealho"/>
        <w:ind w:firstLine="1134"/>
        <w:jc w:val="both"/>
        <w:rPr>
          <w:sz w:val="24"/>
          <w:szCs w:val="24"/>
        </w:rPr>
      </w:pPr>
    </w:p>
    <w:p w:rsidR="00574D67" w:rsidRDefault="00574D67" w:rsidP="004558E9">
      <w:pPr>
        <w:pStyle w:val="Cabealho"/>
        <w:ind w:firstLine="1134"/>
        <w:jc w:val="both"/>
        <w:rPr>
          <w:sz w:val="24"/>
          <w:szCs w:val="24"/>
        </w:rPr>
      </w:pPr>
    </w:p>
    <w:p w:rsidR="00574D67" w:rsidRPr="00A87282" w:rsidRDefault="00574D67" w:rsidP="00574D67">
      <w:pPr>
        <w:pStyle w:val="Cabealho"/>
        <w:jc w:val="center"/>
        <w:rPr>
          <w:b/>
          <w:sz w:val="24"/>
          <w:szCs w:val="24"/>
        </w:rPr>
      </w:pPr>
      <w:r w:rsidRPr="00A87282">
        <w:rPr>
          <w:b/>
          <w:sz w:val="24"/>
          <w:szCs w:val="24"/>
        </w:rPr>
        <w:t>ANEXO</w:t>
      </w:r>
      <w:r>
        <w:rPr>
          <w:b/>
          <w:sz w:val="24"/>
          <w:szCs w:val="24"/>
        </w:rPr>
        <w:t xml:space="preserve"> III</w:t>
      </w:r>
    </w:p>
    <w:p w:rsidR="00574D67" w:rsidRDefault="00574D67" w:rsidP="004558E9">
      <w:pPr>
        <w:pStyle w:val="Cabealho"/>
        <w:ind w:firstLine="1134"/>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448"/>
        <w:gridCol w:w="1984"/>
      </w:tblGrid>
      <w:tr w:rsidR="00574D67" w:rsidRPr="00326981" w:rsidTr="00326981">
        <w:trPr>
          <w:jc w:val="center"/>
        </w:trPr>
        <w:tc>
          <w:tcPr>
            <w:tcW w:w="663" w:type="dxa"/>
            <w:shd w:val="clear" w:color="auto" w:fill="auto"/>
          </w:tcPr>
          <w:p w:rsidR="00574D67" w:rsidRPr="00326981" w:rsidRDefault="00574D67" w:rsidP="00326981">
            <w:pPr>
              <w:pStyle w:val="Cabealho"/>
              <w:spacing w:before="40" w:after="40"/>
              <w:jc w:val="center"/>
              <w:rPr>
                <w:rFonts w:ascii="Arial" w:hAnsi="Arial" w:cs="Arial"/>
                <w:sz w:val="22"/>
                <w:szCs w:val="22"/>
              </w:rPr>
            </w:pPr>
            <w:r w:rsidRPr="00326981">
              <w:rPr>
                <w:rFonts w:ascii="Arial" w:hAnsi="Arial" w:cs="Arial"/>
                <w:b/>
                <w:bCs/>
                <w:color w:val="2F2C2E"/>
                <w:sz w:val="22"/>
                <w:szCs w:val="22"/>
              </w:rPr>
              <w:t>Nº</w:t>
            </w:r>
          </w:p>
        </w:tc>
        <w:tc>
          <w:tcPr>
            <w:tcW w:w="3448" w:type="dxa"/>
            <w:shd w:val="clear" w:color="auto" w:fill="auto"/>
          </w:tcPr>
          <w:p w:rsidR="00574D67" w:rsidRPr="00326981" w:rsidRDefault="00574D67" w:rsidP="00326981">
            <w:pPr>
              <w:pStyle w:val="Cabealho"/>
              <w:spacing w:before="40" w:after="40"/>
              <w:jc w:val="center"/>
              <w:rPr>
                <w:rFonts w:ascii="Arial" w:hAnsi="Arial" w:cs="Arial"/>
                <w:sz w:val="22"/>
                <w:szCs w:val="22"/>
              </w:rPr>
            </w:pPr>
            <w:r w:rsidRPr="00326981">
              <w:rPr>
                <w:rFonts w:ascii="Arial" w:hAnsi="Arial" w:cs="Arial"/>
                <w:b/>
                <w:bCs/>
                <w:color w:val="2F2C2E"/>
                <w:sz w:val="22"/>
                <w:szCs w:val="22"/>
              </w:rPr>
              <w:t>ENDEREÇO</w:t>
            </w:r>
          </w:p>
        </w:tc>
        <w:tc>
          <w:tcPr>
            <w:tcW w:w="1984" w:type="dxa"/>
            <w:shd w:val="clear" w:color="auto" w:fill="auto"/>
          </w:tcPr>
          <w:p w:rsidR="00574D67" w:rsidRPr="00326981" w:rsidRDefault="00574D67" w:rsidP="00326981">
            <w:pPr>
              <w:pStyle w:val="Cabealho"/>
              <w:spacing w:before="40" w:after="40"/>
              <w:jc w:val="center"/>
              <w:rPr>
                <w:rFonts w:ascii="Arial" w:hAnsi="Arial" w:cs="Arial"/>
                <w:sz w:val="22"/>
                <w:szCs w:val="22"/>
              </w:rPr>
            </w:pPr>
            <w:r w:rsidRPr="00326981">
              <w:rPr>
                <w:rFonts w:ascii="Arial" w:hAnsi="Arial" w:cs="Arial"/>
                <w:b/>
                <w:bCs/>
                <w:color w:val="2F2C2E"/>
                <w:sz w:val="22"/>
                <w:szCs w:val="22"/>
              </w:rPr>
              <w:t>SITUAÇÃO</w:t>
            </w:r>
          </w:p>
        </w:tc>
      </w:tr>
      <w:tr w:rsidR="00574D67" w:rsidRPr="00326981" w:rsidTr="00326981">
        <w:trPr>
          <w:jc w:val="center"/>
        </w:trPr>
        <w:tc>
          <w:tcPr>
            <w:tcW w:w="663" w:type="dxa"/>
            <w:shd w:val="clear" w:color="auto" w:fill="auto"/>
          </w:tcPr>
          <w:p w:rsidR="00574D67" w:rsidRPr="00326981" w:rsidRDefault="00574D67" w:rsidP="00326981">
            <w:pPr>
              <w:pStyle w:val="Cabealho"/>
              <w:spacing w:before="40" w:after="40"/>
              <w:jc w:val="center"/>
              <w:rPr>
                <w:rFonts w:ascii="Arial" w:hAnsi="Arial" w:cs="Arial"/>
                <w:sz w:val="22"/>
                <w:szCs w:val="22"/>
              </w:rPr>
            </w:pPr>
            <w:r w:rsidRPr="00326981">
              <w:rPr>
                <w:rFonts w:ascii="Arial" w:hAnsi="Arial" w:cs="Arial"/>
                <w:sz w:val="22"/>
                <w:szCs w:val="22"/>
              </w:rPr>
              <w:t>01</w:t>
            </w:r>
          </w:p>
        </w:tc>
        <w:tc>
          <w:tcPr>
            <w:tcW w:w="3448" w:type="dxa"/>
            <w:shd w:val="clear" w:color="auto" w:fill="auto"/>
          </w:tcPr>
          <w:p w:rsidR="00574D67" w:rsidRPr="00326981" w:rsidRDefault="009A0D70" w:rsidP="00326981">
            <w:pPr>
              <w:pStyle w:val="Cabealho"/>
              <w:spacing w:before="40" w:after="40"/>
              <w:jc w:val="center"/>
              <w:rPr>
                <w:rFonts w:ascii="Arial" w:hAnsi="Arial" w:cs="Arial"/>
                <w:sz w:val="22"/>
                <w:szCs w:val="22"/>
              </w:rPr>
            </w:pPr>
            <w:r w:rsidRPr="00326981">
              <w:rPr>
                <w:rFonts w:ascii="Arial" w:hAnsi="Arial" w:cs="Arial"/>
                <w:sz w:val="22"/>
                <w:szCs w:val="22"/>
              </w:rPr>
              <w:t>SQS 405-R-307</w:t>
            </w:r>
          </w:p>
        </w:tc>
        <w:tc>
          <w:tcPr>
            <w:tcW w:w="1984" w:type="dxa"/>
            <w:shd w:val="clear" w:color="auto" w:fill="auto"/>
          </w:tcPr>
          <w:p w:rsidR="00574D67" w:rsidRPr="00326981" w:rsidRDefault="00574D67" w:rsidP="00326981">
            <w:pPr>
              <w:pStyle w:val="Cabealho"/>
              <w:spacing w:before="40" w:after="40"/>
              <w:jc w:val="center"/>
              <w:rPr>
                <w:rFonts w:ascii="Arial" w:hAnsi="Arial" w:cs="Arial"/>
                <w:sz w:val="22"/>
                <w:szCs w:val="22"/>
              </w:rPr>
            </w:pPr>
            <w:r w:rsidRPr="00326981">
              <w:rPr>
                <w:rFonts w:ascii="Arial" w:hAnsi="Arial" w:cs="Arial"/>
                <w:sz w:val="22"/>
                <w:szCs w:val="22"/>
              </w:rPr>
              <w:t>Desocupado</w:t>
            </w:r>
          </w:p>
        </w:tc>
      </w:tr>
    </w:tbl>
    <w:p w:rsidR="00574D67" w:rsidRDefault="00574D67" w:rsidP="004558E9">
      <w:pPr>
        <w:pStyle w:val="Cabealho"/>
        <w:ind w:firstLine="1134"/>
        <w:jc w:val="both"/>
        <w:rPr>
          <w:sz w:val="24"/>
          <w:szCs w:val="24"/>
        </w:rPr>
      </w:pPr>
    </w:p>
    <w:p w:rsidR="00574D67" w:rsidRDefault="00574D67" w:rsidP="004558E9">
      <w:pPr>
        <w:pStyle w:val="Cabealho"/>
        <w:ind w:firstLine="1134"/>
        <w:jc w:val="both"/>
        <w:rPr>
          <w:sz w:val="24"/>
          <w:szCs w:val="24"/>
        </w:rPr>
      </w:pPr>
    </w:p>
    <w:p w:rsidR="00574D67" w:rsidRPr="00A87282" w:rsidRDefault="00574D67" w:rsidP="00062C38">
      <w:pPr>
        <w:pStyle w:val="Cabealho"/>
        <w:jc w:val="center"/>
        <w:rPr>
          <w:b/>
          <w:sz w:val="24"/>
          <w:szCs w:val="24"/>
        </w:rPr>
      </w:pPr>
      <w:r w:rsidRPr="00A87282">
        <w:rPr>
          <w:b/>
          <w:sz w:val="24"/>
          <w:szCs w:val="24"/>
        </w:rPr>
        <w:t>ANEXO</w:t>
      </w:r>
      <w:r>
        <w:rPr>
          <w:b/>
          <w:sz w:val="24"/>
          <w:szCs w:val="24"/>
        </w:rPr>
        <w:t xml:space="preserve"> I</w:t>
      </w:r>
      <w:r w:rsidR="00062C38">
        <w:rPr>
          <w:b/>
          <w:sz w:val="24"/>
          <w:szCs w:val="24"/>
        </w:rPr>
        <w:t>V</w:t>
      </w:r>
    </w:p>
    <w:p w:rsidR="00DC01DD" w:rsidRDefault="00EE0E29" w:rsidP="004558E9">
      <w:pPr>
        <w:pStyle w:val="Cabealho"/>
        <w:ind w:firstLine="1134"/>
        <w:jc w:val="both"/>
        <w:rPr>
          <w:sz w:val="24"/>
          <w:szCs w:val="24"/>
        </w:rPr>
      </w:pPr>
      <w:hyperlink r:id="rId9" w:history="1">
        <w:r w:rsidR="001766C2" w:rsidRPr="00EE0E29">
          <w:rPr>
            <w:rStyle w:val="Hyperlink"/>
            <w:i/>
            <w:sz w:val="24"/>
          </w:rPr>
          <w:t>(Anexo com redação dada pelo Anexo II ao Ato da Mesa nº 102, de 29/12/2023)</w:t>
        </w:r>
      </w:hyperlink>
    </w:p>
    <w:p w:rsidR="001766C2" w:rsidRDefault="001766C2" w:rsidP="004558E9">
      <w:pPr>
        <w:pStyle w:val="Cabealho"/>
        <w:ind w:firstLine="1134"/>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448"/>
      </w:tblGrid>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b/>
                <w:bCs/>
                <w:color w:val="2F2C2E"/>
                <w:sz w:val="22"/>
                <w:szCs w:val="22"/>
              </w:rPr>
              <w:t>Nº</w:t>
            </w:r>
          </w:p>
        </w:tc>
        <w:tc>
          <w:tcPr>
            <w:tcW w:w="3448"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b/>
                <w:bCs/>
                <w:color w:val="2F2C2E"/>
                <w:sz w:val="22"/>
                <w:szCs w:val="22"/>
              </w:rPr>
              <w:t>ENDEREÇO</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01</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SQN 106-I-301</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02</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SQN 106-J-502</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03</w:t>
            </w:r>
          </w:p>
        </w:tc>
        <w:tc>
          <w:tcPr>
            <w:tcW w:w="3448" w:type="dxa"/>
            <w:shd w:val="clear" w:color="auto" w:fill="auto"/>
          </w:tcPr>
          <w:p w:rsidR="001766C2" w:rsidRPr="001F2153" w:rsidRDefault="001766C2" w:rsidP="001766C2">
            <w:pPr>
              <w:jc w:val="center"/>
              <w:rPr>
                <w:rFonts w:ascii="Arial" w:hAnsi="Arial" w:cs="Arial"/>
                <w:sz w:val="22"/>
                <w:szCs w:val="22"/>
                <w:lang w:val="en-US"/>
              </w:rPr>
            </w:pPr>
            <w:r w:rsidRPr="001F2153">
              <w:rPr>
                <w:rFonts w:ascii="Arial" w:hAnsi="Arial" w:cs="Arial"/>
                <w:sz w:val="22"/>
                <w:szCs w:val="22"/>
                <w:lang w:val="en-US"/>
              </w:rPr>
              <w:t>SQN 112-A-303</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04</w:t>
            </w:r>
          </w:p>
        </w:tc>
        <w:tc>
          <w:tcPr>
            <w:tcW w:w="3448" w:type="dxa"/>
            <w:shd w:val="clear" w:color="auto" w:fill="auto"/>
          </w:tcPr>
          <w:p w:rsidR="001766C2" w:rsidRPr="001F2153" w:rsidRDefault="001766C2" w:rsidP="001766C2">
            <w:pPr>
              <w:jc w:val="center"/>
              <w:rPr>
                <w:rFonts w:ascii="Arial" w:hAnsi="Arial" w:cs="Arial"/>
                <w:sz w:val="22"/>
                <w:szCs w:val="22"/>
                <w:lang w:val="en-US"/>
              </w:rPr>
            </w:pPr>
            <w:r w:rsidRPr="001F2153">
              <w:rPr>
                <w:rFonts w:ascii="Arial" w:hAnsi="Arial" w:cs="Arial"/>
                <w:sz w:val="22"/>
                <w:szCs w:val="22"/>
                <w:lang w:val="en-US"/>
              </w:rPr>
              <w:t>SQN 112-D-201</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05</w:t>
            </w:r>
          </w:p>
        </w:tc>
        <w:tc>
          <w:tcPr>
            <w:tcW w:w="3448" w:type="dxa"/>
            <w:shd w:val="clear" w:color="auto" w:fill="auto"/>
          </w:tcPr>
          <w:p w:rsidR="001766C2" w:rsidRPr="001F2153" w:rsidRDefault="001766C2" w:rsidP="001766C2">
            <w:pPr>
              <w:jc w:val="center"/>
              <w:rPr>
                <w:rFonts w:ascii="Arial" w:hAnsi="Arial" w:cs="Arial"/>
                <w:sz w:val="22"/>
                <w:szCs w:val="22"/>
                <w:lang w:val="en-US"/>
              </w:rPr>
            </w:pPr>
            <w:r w:rsidRPr="001F2153">
              <w:rPr>
                <w:rFonts w:ascii="Arial" w:hAnsi="Arial" w:cs="Arial"/>
                <w:sz w:val="22"/>
                <w:szCs w:val="22"/>
                <w:lang w:val="en-US"/>
              </w:rPr>
              <w:t>SQN 112-D-405</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06</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SQN 112-D-505</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lastRenderedPageBreak/>
              <w:t>07</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SQN 304-B-201</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08</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SQS 114-H-104</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09</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SQS 114-H-107</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10</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SQS 114-H-304</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11</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SQS 114-H-502</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12</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SQS 114-H-505</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13</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SQS 114-H-506</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sidRPr="00326981">
              <w:rPr>
                <w:rFonts w:ascii="Arial" w:hAnsi="Arial" w:cs="Arial"/>
                <w:sz w:val="22"/>
                <w:szCs w:val="22"/>
              </w:rPr>
              <w:t>14</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SQS 203-I-102</w:t>
            </w:r>
          </w:p>
        </w:tc>
      </w:tr>
      <w:tr w:rsidR="001766C2" w:rsidRPr="00326981" w:rsidTr="001766C2">
        <w:trPr>
          <w:jc w:val="center"/>
        </w:trPr>
        <w:tc>
          <w:tcPr>
            <w:tcW w:w="663" w:type="dxa"/>
            <w:shd w:val="clear" w:color="auto" w:fill="auto"/>
          </w:tcPr>
          <w:p w:rsidR="001766C2" w:rsidRPr="00326981" w:rsidRDefault="001766C2" w:rsidP="001766C2">
            <w:pPr>
              <w:pStyle w:val="Cabealho"/>
              <w:spacing w:before="40" w:after="40"/>
              <w:jc w:val="center"/>
              <w:rPr>
                <w:rFonts w:ascii="Arial" w:hAnsi="Arial" w:cs="Arial"/>
                <w:sz w:val="22"/>
                <w:szCs w:val="22"/>
              </w:rPr>
            </w:pPr>
            <w:r>
              <w:rPr>
                <w:rFonts w:ascii="Arial" w:hAnsi="Arial" w:cs="Arial"/>
                <w:sz w:val="22"/>
                <w:szCs w:val="22"/>
              </w:rPr>
              <w:t>15</w:t>
            </w:r>
          </w:p>
        </w:tc>
        <w:tc>
          <w:tcPr>
            <w:tcW w:w="3448" w:type="dxa"/>
            <w:shd w:val="clear" w:color="auto" w:fill="auto"/>
          </w:tcPr>
          <w:p w:rsidR="001766C2" w:rsidRPr="001F2153" w:rsidRDefault="001766C2" w:rsidP="001766C2">
            <w:pPr>
              <w:jc w:val="center"/>
              <w:rPr>
                <w:rFonts w:ascii="Arial" w:hAnsi="Arial" w:cs="Arial"/>
                <w:sz w:val="22"/>
                <w:szCs w:val="22"/>
              </w:rPr>
            </w:pPr>
            <w:r w:rsidRPr="001F2153">
              <w:rPr>
                <w:rFonts w:ascii="Arial" w:hAnsi="Arial" w:cs="Arial"/>
                <w:sz w:val="22"/>
                <w:szCs w:val="22"/>
              </w:rPr>
              <w:t>SQS 316-B-202</w:t>
            </w:r>
          </w:p>
        </w:tc>
      </w:tr>
    </w:tbl>
    <w:p w:rsidR="007C506D" w:rsidRPr="007C506D" w:rsidRDefault="007C506D" w:rsidP="007C506D">
      <w:pPr>
        <w:pStyle w:val="Cabealho"/>
        <w:jc w:val="both"/>
        <w:rPr>
          <w:sz w:val="24"/>
          <w:szCs w:val="24"/>
        </w:rPr>
      </w:pPr>
    </w:p>
    <w:p w:rsidR="004708A3" w:rsidRDefault="004708A3" w:rsidP="004558E9">
      <w:pPr>
        <w:pStyle w:val="Cabealho"/>
        <w:jc w:val="center"/>
        <w:rPr>
          <w:b/>
          <w:sz w:val="24"/>
          <w:szCs w:val="24"/>
        </w:rPr>
      </w:pPr>
    </w:p>
    <w:p w:rsidR="007C506D" w:rsidRPr="004558E9" w:rsidRDefault="007C506D" w:rsidP="004558E9">
      <w:pPr>
        <w:pStyle w:val="Cabealho"/>
        <w:jc w:val="center"/>
        <w:rPr>
          <w:b/>
          <w:sz w:val="24"/>
          <w:szCs w:val="24"/>
        </w:rPr>
      </w:pPr>
      <w:r w:rsidRPr="004558E9">
        <w:rPr>
          <w:b/>
          <w:sz w:val="24"/>
          <w:szCs w:val="24"/>
        </w:rPr>
        <w:t>JUSTIFICAÇÃO</w:t>
      </w:r>
    </w:p>
    <w:p w:rsidR="007C506D" w:rsidRPr="007C506D" w:rsidRDefault="007C506D" w:rsidP="007C506D">
      <w:pPr>
        <w:pStyle w:val="Cabealho"/>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A Câmara dos Deputados administra uma </w:t>
      </w:r>
      <w:r w:rsidR="004558E9">
        <w:rPr>
          <w:sz w:val="24"/>
          <w:szCs w:val="24"/>
        </w:rPr>
        <w:t>“</w:t>
      </w:r>
      <w:r w:rsidRPr="007C506D">
        <w:rPr>
          <w:sz w:val="24"/>
          <w:szCs w:val="24"/>
        </w:rPr>
        <w:t>reserva técnica</w:t>
      </w:r>
      <w:r w:rsidR="004558E9">
        <w:rPr>
          <w:sz w:val="24"/>
          <w:szCs w:val="24"/>
        </w:rPr>
        <w:t>”</w:t>
      </w:r>
      <w:r w:rsidRPr="007C506D">
        <w:rPr>
          <w:sz w:val="24"/>
          <w:szCs w:val="24"/>
        </w:rPr>
        <w:t xml:space="preserve"> de 34 (trinta e quatro) imóveis residenciais avulsos, posicionados de forma descentralizada no Distrito Federal, destinados à ocupação por servidores, remanescentes do período em que o governo federal promoveu maciça venda desses imóveis com a finalidade de desonerar o Estado de esforços e despesas administrativas e judiciais a eles relacionados.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Os referidos imóveis são ocupados exclusivamente por servidores, tanto por aqueles investidos em Cargos de Natureza Especial (CNE) como também por ocupantes de cargos de provimento efetivo. Todavia, em sua maioria, (21 unidades) estão desocupadas, tornando os imóveis uma vangem para poucos, configurando-se em uma distorção muito mais que em um benefício às carreiras.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As despesas administrativas para a Câmara dos Deputados derivam de todos os imóveis, entre taxas condominiais extras e ordinárias, sendo o gasto maior com os que se encontram desocupados, alcançando o patamar de R$ 258.000,00 (duzentos e cinquenta e oito mil reais) em 2015. Deve-se considerar, também, a ocorrência de gastos eventuais com manutenção e recuperação dos imóveis.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Por essas razões é que se propõe a devolução de parte dos imóveis à Secretaria do Patrimônio da União, legítima proprietária dos mesmos. Cabe esclarecer que 13 (treze) unidades possuem características que possibilitam a ocupação por parlamentares devido à localização no Plano Piloto e metragem compatível com os apartamentos funcionais. Propõe-se, desse modo, que sejam preservados sob a posse da Câmara dos Deputados, com alteração de sua destinação para uso exclusivo de parlamentares, na medida em que forem devolvidos pelos servidores que os ocupam sob o regramento estabelecido no Ato da Mesa n° 46/2009.</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Sala de Reuniões, em 10 de dezembro de 2015.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EDUARDO CUNHA</w:t>
      </w:r>
    </w:p>
    <w:p w:rsidR="007C506D" w:rsidRPr="007C506D" w:rsidRDefault="007C506D" w:rsidP="004558E9">
      <w:pPr>
        <w:pStyle w:val="Cabealho"/>
        <w:ind w:firstLine="1134"/>
        <w:jc w:val="both"/>
        <w:rPr>
          <w:sz w:val="24"/>
          <w:szCs w:val="24"/>
        </w:rPr>
      </w:pPr>
      <w:r w:rsidRPr="007C506D">
        <w:rPr>
          <w:sz w:val="24"/>
          <w:szCs w:val="24"/>
        </w:rPr>
        <w:t xml:space="preserve">Presidente </w:t>
      </w:r>
    </w:p>
    <w:p w:rsidR="007C506D" w:rsidRPr="007C506D" w:rsidRDefault="007C506D" w:rsidP="007C506D">
      <w:pPr>
        <w:pStyle w:val="Cabealho"/>
        <w:jc w:val="both"/>
        <w:rPr>
          <w:sz w:val="24"/>
          <w:szCs w:val="24"/>
        </w:rPr>
      </w:pPr>
    </w:p>
    <w:p w:rsidR="007C506D" w:rsidRPr="007C506D" w:rsidRDefault="007C506D" w:rsidP="007C506D">
      <w:pPr>
        <w:pStyle w:val="Cabealho"/>
        <w:jc w:val="both"/>
        <w:rPr>
          <w:sz w:val="24"/>
          <w:szCs w:val="24"/>
        </w:rPr>
      </w:pPr>
    </w:p>
    <w:p w:rsidR="007C506D" w:rsidRPr="007C506D" w:rsidRDefault="007C506D" w:rsidP="007C506D">
      <w:pPr>
        <w:pStyle w:val="Cabealho"/>
        <w:jc w:val="both"/>
        <w:rPr>
          <w:sz w:val="24"/>
          <w:szCs w:val="24"/>
        </w:rPr>
      </w:pPr>
      <w:r w:rsidRPr="007C506D">
        <w:rPr>
          <w:sz w:val="24"/>
          <w:szCs w:val="24"/>
        </w:rPr>
        <w:t xml:space="preserve">PROCESSO N.103.491/2008 </w:t>
      </w:r>
    </w:p>
    <w:p w:rsidR="007C506D" w:rsidRPr="007C506D" w:rsidRDefault="007C506D" w:rsidP="007C506D">
      <w:pPr>
        <w:pStyle w:val="Cabealho"/>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A Mesa Diretora, em reunião realizada no dia 09 de dezembro do corrente, resolveu, por unanimidade, baixar o Ato da Mesa nº 67, de 2015, que "Dispõe sobre a reserva técnica de imóveis funcionais da União administrados pela Câmara dos Deputados.", nos termos do encaminhamento do Relator, Deputado Alex Canziani, no Processo n. 103.491/2008.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Participaram da votação os Senhores Deputados: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Giacobo, Segundo-Vice-Presidente; Beto Mansur, Primeiro-Secretário; Felipe Bornier, Segundo-Secretário; Mara Gabrilli, Terceira-Secretária; e Alex Canziani, Quarto-Secretário.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 xml:space="preserve">Sala de Reuniões, em 10 de dezembro de 2015. </w:t>
      </w:r>
    </w:p>
    <w:p w:rsidR="007C506D" w:rsidRPr="007C506D" w:rsidRDefault="007C506D" w:rsidP="004558E9">
      <w:pPr>
        <w:pStyle w:val="Cabealho"/>
        <w:ind w:firstLine="1134"/>
        <w:jc w:val="both"/>
        <w:rPr>
          <w:sz w:val="24"/>
          <w:szCs w:val="24"/>
        </w:rPr>
      </w:pPr>
    </w:p>
    <w:p w:rsidR="007C506D" w:rsidRPr="007C506D" w:rsidRDefault="007C506D" w:rsidP="004558E9">
      <w:pPr>
        <w:pStyle w:val="Cabealho"/>
        <w:ind w:firstLine="1134"/>
        <w:jc w:val="both"/>
        <w:rPr>
          <w:sz w:val="24"/>
          <w:szCs w:val="24"/>
        </w:rPr>
      </w:pPr>
      <w:r w:rsidRPr="007C506D">
        <w:rPr>
          <w:sz w:val="24"/>
          <w:szCs w:val="24"/>
        </w:rPr>
        <w:t>EDUARDO CUNHA</w:t>
      </w:r>
    </w:p>
    <w:p w:rsidR="00EF6DF5" w:rsidRDefault="007C506D" w:rsidP="00EF6DF5">
      <w:pPr>
        <w:pStyle w:val="Cabealho"/>
        <w:ind w:firstLine="1134"/>
        <w:jc w:val="both"/>
        <w:rPr>
          <w:sz w:val="24"/>
          <w:szCs w:val="24"/>
        </w:rPr>
      </w:pPr>
      <w:r w:rsidRPr="007C506D">
        <w:rPr>
          <w:sz w:val="24"/>
          <w:szCs w:val="24"/>
        </w:rPr>
        <w:t>Presidente</w:t>
      </w:r>
    </w:p>
    <w:sectPr w:rsidR="00EF6DF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134AC"/>
    <w:rsid w:val="00031082"/>
    <w:rsid w:val="00062C38"/>
    <w:rsid w:val="000C6F5F"/>
    <w:rsid w:val="00175214"/>
    <w:rsid w:val="001766C2"/>
    <w:rsid w:val="001A4BC9"/>
    <w:rsid w:val="001B2C33"/>
    <w:rsid w:val="001E3039"/>
    <w:rsid w:val="002022C2"/>
    <w:rsid w:val="00202D1E"/>
    <w:rsid w:val="002055E6"/>
    <w:rsid w:val="00212338"/>
    <w:rsid w:val="00232766"/>
    <w:rsid w:val="00237EC3"/>
    <w:rsid w:val="00263A93"/>
    <w:rsid w:val="00263EDC"/>
    <w:rsid w:val="00271313"/>
    <w:rsid w:val="0027187A"/>
    <w:rsid w:val="002751F9"/>
    <w:rsid w:val="002B0AB7"/>
    <w:rsid w:val="002B3BBA"/>
    <w:rsid w:val="002E70DF"/>
    <w:rsid w:val="002F5CF1"/>
    <w:rsid w:val="00314125"/>
    <w:rsid w:val="003223A1"/>
    <w:rsid w:val="00326981"/>
    <w:rsid w:val="003614FD"/>
    <w:rsid w:val="003674AE"/>
    <w:rsid w:val="00371520"/>
    <w:rsid w:val="00382451"/>
    <w:rsid w:val="003A65BE"/>
    <w:rsid w:val="003B058B"/>
    <w:rsid w:val="003F3F69"/>
    <w:rsid w:val="0040208F"/>
    <w:rsid w:val="00420578"/>
    <w:rsid w:val="00426CB7"/>
    <w:rsid w:val="00427781"/>
    <w:rsid w:val="00435FBD"/>
    <w:rsid w:val="004548EA"/>
    <w:rsid w:val="004558E9"/>
    <w:rsid w:val="004708A3"/>
    <w:rsid w:val="00470F5F"/>
    <w:rsid w:val="00475BE4"/>
    <w:rsid w:val="004856EA"/>
    <w:rsid w:val="004A09BB"/>
    <w:rsid w:val="004B4292"/>
    <w:rsid w:val="004C37B8"/>
    <w:rsid w:val="004D55FA"/>
    <w:rsid w:val="004E2F52"/>
    <w:rsid w:val="004E79A8"/>
    <w:rsid w:val="005166E5"/>
    <w:rsid w:val="00574D67"/>
    <w:rsid w:val="00577DFB"/>
    <w:rsid w:val="005D2392"/>
    <w:rsid w:val="005E1653"/>
    <w:rsid w:val="005E3259"/>
    <w:rsid w:val="00602398"/>
    <w:rsid w:val="006024C4"/>
    <w:rsid w:val="00607D21"/>
    <w:rsid w:val="00642F39"/>
    <w:rsid w:val="00644E1F"/>
    <w:rsid w:val="00651582"/>
    <w:rsid w:val="00660673"/>
    <w:rsid w:val="006637F4"/>
    <w:rsid w:val="006D2527"/>
    <w:rsid w:val="006E202D"/>
    <w:rsid w:val="006E5D2D"/>
    <w:rsid w:val="00700001"/>
    <w:rsid w:val="007234DC"/>
    <w:rsid w:val="00723BD5"/>
    <w:rsid w:val="0074415D"/>
    <w:rsid w:val="00751906"/>
    <w:rsid w:val="0076324D"/>
    <w:rsid w:val="007709A6"/>
    <w:rsid w:val="00774071"/>
    <w:rsid w:val="00787EE7"/>
    <w:rsid w:val="007959C8"/>
    <w:rsid w:val="007A4576"/>
    <w:rsid w:val="007C506D"/>
    <w:rsid w:val="007C66B0"/>
    <w:rsid w:val="007D7D15"/>
    <w:rsid w:val="007E0856"/>
    <w:rsid w:val="007F111E"/>
    <w:rsid w:val="008119B6"/>
    <w:rsid w:val="008318D5"/>
    <w:rsid w:val="00833698"/>
    <w:rsid w:val="00847326"/>
    <w:rsid w:val="008528AE"/>
    <w:rsid w:val="00865EE1"/>
    <w:rsid w:val="00876610"/>
    <w:rsid w:val="00883AFE"/>
    <w:rsid w:val="008C20AA"/>
    <w:rsid w:val="008C5F6B"/>
    <w:rsid w:val="008E4285"/>
    <w:rsid w:val="008F51DC"/>
    <w:rsid w:val="00967956"/>
    <w:rsid w:val="009A0D70"/>
    <w:rsid w:val="009E2F21"/>
    <w:rsid w:val="009F1493"/>
    <w:rsid w:val="00A26D07"/>
    <w:rsid w:val="00A270C0"/>
    <w:rsid w:val="00A43F13"/>
    <w:rsid w:val="00A54BF7"/>
    <w:rsid w:val="00A87282"/>
    <w:rsid w:val="00A9003C"/>
    <w:rsid w:val="00AB04AF"/>
    <w:rsid w:val="00AC6BCE"/>
    <w:rsid w:val="00AF529C"/>
    <w:rsid w:val="00AF6801"/>
    <w:rsid w:val="00B2523D"/>
    <w:rsid w:val="00B40BA8"/>
    <w:rsid w:val="00B435AF"/>
    <w:rsid w:val="00B52DF8"/>
    <w:rsid w:val="00B72706"/>
    <w:rsid w:val="00B821AF"/>
    <w:rsid w:val="00B84B6F"/>
    <w:rsid w:val="00BB66B4"/>
    <w:rsid w:val="00BD136A"/>
    <w:rsid w:val="00BD6ADA"/>
    <w:rsid w:val="00BE1A48"/>
    <w:rsid w:val="00C038C8"/>
    <w:rsid w:val="00C0484C"/>
    <w:rsid w:val="00C20425"/>
    <w:rsid w:val="00C35CC0"/>
    <w:rsid w:val="00C428CC"/>
    <w:rsid w:val="00C66170"/>
    <w:rsid w:val="00C72B05"/>
    <w:rsid w:val="00C9515E"/>
    <w:rsid w:val="00CB7ABD"/>
    <w:rsid w:val="00CF7403"/>
    <w:rsid w:val="00CF7858"/>
    <w:rsid w:val="00D72970"/>
    <w:rsid w:val="00DA2508"/>
    <w:rsid w:val="00DC01DD"/>
    <w:rsid w:val="00DE6C2C"/>
    <w:rsid w:val="00DF7619"/>
    <w:rsid w:val="00E0062E"/>
    <w:rsid w:val="00E06FBE"/>
    <w:rsid w:val="00E23F8E"/>
    <w:rsid w:val="00E25EA6"/>
    <w:rsid w:val="00E44486"/>
    <w:rsid w:val="00E471DE"/>
    <w:rsid w:val="00E700EA"/>
    <w:rsid w:val="00E8077F"/>
    <w:rsid w:val="00E874A7"/>
    <w:rsid w:val="00EB24A6"/>
    <w:rsid w:val="00EB4B02"/>
    <w:rsid w:val="00EC048A"/>
    <w:rsid w:val="00EE0E29"/>
    <w:rsid w:val="00EF6DF5"/>
    <w:rsid w:val="00F13A54"/>
    <w:rsid w:val="00F372DB"/>
    <w:rsid w:val="00F830DA"/>
    <w:rsid w:val="00FC1891"/>
    <w:rsid w:val="00FD2DA4"/>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C0E49D2-41D8-4127-BEE4-835CCE46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table" w:styleId="Tabelacomgrade">
    <w:name w:val="Table Grid"/>
    <w:basedOn w:val="Tabelanormal"/>
    <w:uiPriority w:val="59"/>
    <w:rsid w:val="00DC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semiHidden/>
    <w:rsid w:val="0017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atomes/2023/atodamesa-102-29-dezembro-2023-795207-anexo-cd-mesa.pdf" TargetMode="External"/><Relationship Id="rId3" Type="http://schemas.openxmlformats.org/officeDocument/2006/relationships/settings" Target="settings.xml"/><Relationship Id="rId7" Type="http://schemas.openxmlformats.org/officeDocument/2006/relationships/hyperlink" Target="http://www2.camara.leg.br/legin/int/atomes/2016/atodamesa-118-13-setembro-2016-783605-publicacaooriginal-151063-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camara.leg.br/legin/int/atomes/2023/atodamesa-102-29-dezembro-2023-795207-anexo-cd-mes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5316</CharactersWithSpaces>
  <SharedDoc>false</SharedDoc>
  <HLinks>
    <vt:vector size="18" baseType="variant">
      <vt:variant>
        <vt:i4>6029394</vt:i4>
      </vt:variant>
      <vt:variant>
        <vt:i4>6</vt:i4>
      </vt:variant>
      <vt:variant>
        <vt:i4>0</vt:i4>
      </vt:variant>
      <vt:variant>
        <vt:i4>5</vt:i4>
      </vt:variant>
      <vt:variant>
        <vt:lpwstr>https://www2.camara.leg.br/legin/int/atomes/2023/atodamesa-102-29-dezembro-2023-795207-anexo-cd-mesa.pdf</vt:lpwstr>
      </vt:variant>
      <vt:variant>
        <vt:lpwstr/>
      </vt:variant>
      <vt:variant>
        <vt:i4>6029394</vt:i4>
      </vt:variant>
      <vt:variant>
        <vt:i4>3</vt:i4>
      </vt:variant>
      <vt:variant>
        <vt:i4>0</vt:i4>
      </vt:variant>
      <vt:variant>
        <vt:i4>5</vt:i4>
      </vt:variant>
      <vt:variant>
        <vt:lpwstr>https://www2.camara.leg.br/legin/int/atomes/2023/atodamesa-102-29-dezembro-2023-795207-anexo-cd-mesa.pdf</vt:lpwstr>
      </vt:variant>
      <vt:variant>
        <vt:lpwstr/>
      </vt:variant>
      <vt:variant>
        <vt:i4>1441882</vt:i4>
      </vt:variant>
      <vt:variant>
        <vt:i4>0</vt:i4>
      </vt:variant>
      <vt:variant>
        <vt:i4>0</vt:i4>
      </vt:variant>
      <vt:variant>
        <vt:i4>5</vt:i4>
      </vt:variant>
      <vt:variant>
        <vt:lpwstr>http://www2.camara.leg.br/legin/int/atomes/2016/atodamesa-118-13-setembro-2016-783605-publicacaooriginal-151063-cd-mesa.html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2025-11-20T18:18:00Z</dcterms:created>
  <dcterms:modified xsi:type="dcterms:W3CDTF">2025-11-20T18:18:00Z</dcterms:modified>
</cp:coreProperties>
</file>