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C3" w:rsidRDefault="00C944C3">
      <w:pPr>
        <w:pStyle w:val="Cabealho"/>
        <w:ind w:firstLine="113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614" r:id="rId5"/>
        </w:object>
      </w:r>
    </w:p>
    <w:p w:rsidR="00C944C3" w:rsidRDefault="00C944C3">
      <w:pPr>
        <w:pStyle w:val="Cabealho"/>
        <w:ind w:firstLine="1134"/>
        <w:jc w:val="center"/>
        <w:rPr>
          <w:sz w:val="24"/>
        </w:rPr>
      </w:pPr>
    </w:p>
    <w:p w:rsidR="00C944C3" w:rsidRDefault="00C944C3">
      <w:pPr>
        <w:pStyle w:val="Cabealho"/>
        <w:ind w:firstLine="1134"/>
        <w:jc w:val="center"/>
        <w:rPr>
          <w:sz w:val="24"/>
        </w:rPr>
      </w:pPr>
    </w:p>
    <w:p w:rsidR="00C944C3" w:rsidRDefault="00C944C3">
      <w:pPr>
        <w:pStyle w:val="Cabealho"/>
        <w:ind w:firstLine="1134"/>
        <w:jc w:val="center"/>
        <w:rPr>
          <w:sz w:val="24"/>
        </w:rPr>
      </w:pPr>
    </w:p>
    <w:p w:rsidR="00C944C3" w:rsidRDefault="00C944C3">
      <w:pPr>
        <w:pStyle w:val="Cabealho"/>
        <w:jc w:val="center"/>
        <w:rPr>
          <w:sz w:val="24"/>
        </w:rPr>
      </w:pPr>
    </w:p>
    <w:p w:rsidR="00C944C3" w:rsidRDefault="00C944C3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C944C3" w:rsidRDefault="00C944C3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C944C3" w:rsidRDefault="00C944C3">
      <w:pPr>
        <w:pStyle w:val="Cabealho"/>
        <w:jc w:val="center"/>
        <w:rPr>
          <w:sz w:val="24"/>
        </w:rPr>
      </w:pPr>
    </w:p>
    <w:p w:rsidR="00C944C3" w:rsidRDefault="006F7C0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65, DE 5/</w:t>
      </w:r>
      <w:r w:rsidR="00C944C3">
        <w:rPr>
          <w:b/>
          <w:sz w:val="28"/>
        </w:rPr>
        <w:t>6/1997</w:t>
      </w:r>
    </w:p>
    <w:p w:rsidR="00C944C3" w:rsidRDefault="000E2298">
      <w:pPr>
        <w:pStyle w:val="Cabealho"/>
        <w:jc w:val="center"/>
        <w:rPr>
          <w:sz w:val="24"/>
        </w:rPr>
      </w:pPr>
      <w:hyperlink r:id="rId6" w:history="1">
        <w:r>
          <w:rPr>
            <w:rStyle w:val="Hyperlink"/>
            <w:i/>
            <w:sz w:val="24"/>
          </w:rPr>
          <w:t>(Revogado pelo Ato da Mesa nº 108, de 11/09/2013)</w:t>
        </w:r>
      </w:hyperlink>
    </w:p>
    <w:p w:rsidR="00C944C3" w:rsidRDefault="00C944C3">
      <w:pPr>
        <w:pStyle w:val="Cabealho"/>
        <w:jc w:val="center"/>
        <w:rPr>
          <w:sz w:val="24"/>
        </w:rPr>
      </w:pPr>
      <w:r>
        <w:rPr>
          <w:sz w:val="24"/>
        </w:rPr>
        <w:t xml:space="preserve"> </w:t>
      </w:r>
    </w:p>
    <w:p w:rsidR="00C944C3" w:rsidRDefault="00C944C3">
      <w:pPr>
        <w:pStyle w:val="Cabealho"/>
        <w:ind w:left="4536"/>
        <w:jc w:val="both"/>
        <w:rPr>
          <w:sz w:val="24"/>
        </w:rPr>
      </w:pPr>
      <w:r>
        <w:rPr>
          <w:sz w:val="24"/>
        </w:rPr>
        <w:t xml:space="preserve">Dispõe sobre a confecção de trabalhos gráficos relativos à atividade parlamentar e dá outras providências. </w:t>
      </w:r>
    </w:p>
    <w:p w:rsidR="00C944C3" w:rsidRDefault="00C944C3">
      <w:pPr>
        <w:pStyle w:val="Cabealho"/>
        <w:jc w:val="center"/>
        <w:rPr>
          <w:sz w:val="24"/>
        </w:rPr>
      </w:pPr>
      <w:r>
        <w:rPr>
          <w:sz w:val="24"/>
        </w:rPr>
        <w:t xml:space="preserve"> </w:t>
      </w:r>
    </w:p>
    <w:p w:rsidR="00C944C3" w:rsidRDefault="00C944C3">
      <w:pPr>
        <w:pStyle w:val="Cabealho"/>
        <w:jc w:val="center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DEPUTADOS, com base no art. 14 do Regimento Interno e nos arts. 81 a 102 da Resolução nº 20 , de 1971,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confecção de trabalhos gráficos relativos à atividade parlamentar será efetuada nos limites e condições fixados neste ato.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1º São considerados trabalhos gráficos relativos à atividade parlamentar: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 - separatas de discursos, projetos, pareceres e trabalhos que contenham legislação ou textos ligados à atividade do parlamentar ou de interesse público;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 - pastas para transportes de avulsos;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III - cartões destinados à apresentação pessoal e de cumprimentos, e os de expediente para gabinetes, todos em formato padrão com o nome do deputado;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IV - blocos e folhas para ofício personalizados.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solicitações serão formuladas por escrito e assinadas pelo deputado, devendo ser dirigidas ao Centro de Documentação e Informação - CeDI, e conter todas as especificações necessárias à execução dos serviços de impressão.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2º Os limites máximos de impressão, por Sessão Legislativa Ordinária, são os seguintes: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 - 4.000 (quatro mil) exemplares impressos, obedecido o máximo de 50 (cinq</w:t>
      </w:r>
      <w:r w:rsidR="006E6AE0">
        <w:rPr>
          <w:sz w:val="24"/>
        </w:rPr>
        <w:t>u</w:t>
      </w:r>
      <w:r>
        <w:rPr>
          <w:sz w:val="24"/>
        </w:rPr>
        <w:t xml:space="preserve">enta) páginas, no formato padrão 22,5 cm x 15,5 cm para separatas, podendo variar a tiragem de acordo com o aumento ou a redução de número de páginas;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II - 1.000 (um mil) exemplares de pastas para avulsos; 2.000 (duas mil) folhas de papel ofício personalizadas; 50 (cinq</w:t>
      </w:r>
      <w:r w:rsidR="006E6AE0">
        <w:rPr>
          <w:sz w:val="24"/>
        </w:rPr>
        <w:t>u</w:t>
      </w:r>
      <w:r>
        <w:rPr>
          <w:sz w:val="24"/>
        </w:rPr>
        <w:t>enta) blocos personalizados de 100 (cem) folhas, além dos seguintes cartões: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a) de apresentação (9 cm x 5 cm), 5.000 exemplares; 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b) de cumprimentos (10 cm x 7 cm), 2.000 exemplares; 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c) de gabinete, simples (10 cm x 15 cm), 5.000 exemplares; 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d) de gabinete, duplo (20 cm x 15 cm ou 10 cm x 30 cm), 1.000 exemplares. 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§ 1º Os limites a que se refere este artigo deverão ser utilizados dentro do mesmo exercício financeiro, vedada sua transferência, no todo ou em parte, para o exercício seguinte, assim como de um para outro deputado.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É vedada a transferência entre as cotas previstas nos incisos deste artigo, bem como os impressos especificados no inciso II.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Art. 3º O parlamentar poderá optar pela utilização de policromia e plastificação nas capas das separatas. </w:t>
      </w:r>
      <w:hyperlink r:id="rId7" w:history="1">
        <w:r>
          <w:rPr>
            <w:rStyle w:val="Hyperlink"/>
            <w:i/>
            <w:sz w:val="24"/>
          </w:rPr>
          <w:t>(“Caput” do artigo com redação dada pelo Ato da Mesa nº 20, de 5/6/2003)</w:t>
        </w:r>
      </w:hyperlink>
    </w:p>
    <w:p w:rsidR="00C944C3" w:rsidRDefault="00C944C3">
      <w:pPr>
        <w:pStyle w:val="Cabealho"/>
        <w:ind w:firstLine="1134"/>
        <w:jc w:val="both"/>
        <w:rPr>
          <w:color w:val="FF0000"/>
          <w:sz w:val="24"/>
        </w:rPr>
      </w:pPr>
      <w:r>
        <w:rPr>
          <w:sz w:val="24"/>
        </w:rPr>
        <w:t xml:space="preserve">Parágrafo único. Não é permitida a aplicação de policromia no texto das separatas, bem como, a utilização de papel de tipos e gramaturas especiais, diferentes dos padrões utilizados pela Câmara dos Deputados. </w:t>
      </w:r>
      <w:hyperlink r:id="rId8" w:history="1">
        <w:r>
          <w:rPr>
            <w:rStyle w:val="Hyperlink"/>
            <w:i/>
            <w:sz w:val="24"/>
          </w:rPr>
          <w:t>(Parágrafo único acrescido pelo Ato da Mesa nº 20, de 5/6/2003)</w:t>
        </w:r>
      </w:hyperlink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4º O trabalho relativo à atividade parlamentar é definido como sendo de autoria do Deputado, e o conteúdo de seus textos deve estar relacionado com as atividades desenvolvidas no exercício do mandato, podendo ser acrescido de artigos e estudos de terceiros relacionados ao seu trabalho, vedada a inclusão de qualquer mensagem que possa ser caracterizada como propaganda eleitoral, nos termos da legislação eleitoral e das instruções complementares expedidas pelo Tribunal Superior Eleitoral.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Parágrafo único. É vedada a utilização da cota de impressão gráfica de que trata este ato para a publicação de material de interesse de partidos políticos ou organizações a eles vinculados, de interesse particular ou subscrito por terceiros, bem como de propaganda para fins eleitorais.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5º O conteúdo e a utilização dos trabalhos impressos nos termos deste ato são de responsabilidade exclusiva do parlamentar. </w:t>
      </w:r>
    </w:p>
    <w:p w:rsidR="006F7C05" w:rsidRDefault="006F7C05">
      <w:pPr>
        <w:pStyle w:val="Cabealho"/>
        <w:ind w:firstLine="1134"/>
        <w:jc w:val="both"/>
        <w:rPr>
          <w:sz w:val="24"/>
        </w:rPr>
      </w:pPr>
    </w:p>
    <w:p w:rsidR="006F7C05" w:rsidRDefault="006F7C05" w:rsidP="006F7C05">
      <w:pPr>
        <w:ind w:left="720" w:firstLine="414"/>
        <w:jc w:val="both"/>
        <w:rPr>
          <w:sz w:val="24"/>
          <w:szCs w:val="24"/>
        </w:rPr>
      </w:pPr>
      <w:r w:rsidRPr="006F7C05">
        <w:rPr>
          <w:sz w:val="24"/>
          <w:szCs w:val="24"/>
        </w:rPr>
        <w:t>Art. 5º-A </w:t>
      </w:r>
      <w:r w:rsidR="006B1C2E">
        <w:rPr>
          <w:sz w:val="24"/>
          <w:szCs w:val="24"/>
        </w:rPr>
        <w:t xml:space="preserve"> </w:t>
      </w:r>
      <w:r w:rsidRPr="006F7C05">
        <w:rPr>
          <w:sz w:val="24"/>
          <w:szCs w:val="24"/>
        </w:rPr>
        <w:t>Fica assegurada cota de exemplares impressos para confecção de informativos destinados à divulgação das atividades das Lideranças</w:t>
      </w:r>
    </w:p>
    <w:p w:rsidR="006F7C05" w:rsidRDefault="006F7C05" w:rsidP="006F7C05">
      <w:pPr>
        <w:ind w:left="720" w:firstLine="414"/>
        <w:jc w:val="both"/>
        <w:rPr>
          <w:sz w:val="24"/>
          <w:szCs w:val="24"/>
        </w:rPr>
      </w:pPr>
      <w:r w:rsidRPr="006F7C05">
        <w:rPr>
          <w:sz w:val="24"/>
          <w:szCs w:val="24"/>
        </w:rPr>
        <w:t>§ 1º A cota considerará, ao longo de toda a legislatura, a representatividade partidária decorrente do resultado da eleição para a Câmara dos Deputados proclamado pelo Tribunal Superior Eleitoral</w:t>
      </w:r>
      <w:r w:rsidR="006B1C2E">
        <w:rPr>
          <w:sz w:val="24"/>
          <w:szCs w:val="24"/>
        </w:rPr>
        <w:t>.</w:t>
      </w:r>
      <w:r w:rsidRPr="006F7C05">
        <w:rPr>
          <w:sz w:val="24"/>
          <w:szCs w:val="24"/>
        </w:rPr>
        <w:t xml:space="preserve"> </w:t>
      </w:r>
    </w:p>
    <w:p w:rsidR="006F7C05" w:rsidRDefault="006F7C05" w:rsidP="006F7C05">
      <w:pPr>
        <w:ind w:left="720" w:firstLine="414"/>
        <w:jc w:val="both"/>
        <w:rPr>
          <w:sz w:val="24"/>
          <w:szCs w:val="24"/>
        </w:rPr>
      </w:pPr>
      <w:r w:rsidRPr="006F7C05">
        <w:rPr>
          <w:sz w:val="24"/>
          <w:szCs w:val="24"/>
        </w:rPr>
        <w:t xml:space="preserve">§ 2º A cota de impressão diária, considerados apenas os dias úteis, será de 5 (cinco) exemplares por Deputado integrante da Liderança, obedecido o máximo de 4 (quatro) páginas tamanho A3 por exemplar, ou correspondente, em policromia. </w:t>
      </w:r>
    </w:p>
    <w:p w:rsidR="006F7C05" w:rsidRDefault="006F7C05" w:rsidP="006F7C05">
      <w:pPr>
        <w:ind w:left="720" w:firstLine="414"/>
        <w:jc w:val="both"/>
        <w:rPr>
          <w:sz w:val="24"/>
          <w:szCs w:val="24"/>
        </w:rPr>
      </w:pPr>
      <w:r w:rsidRPr="006F7C05">
        <w:rPr>
          <w:sz w:val="24"/>
          <w:szCs w:val="24"/>
        </w:rPr>
        <w:t xml:space="preserve">§ 3º O limite de tiragem diária previsto no § 2º observará o mínimo de 100 (cem) e o máximo de 400 (quatrocentos) exemplares por Liderança, podendo ser acumuláveis pelo período de 1 (um) mês, iniciada a contagem sempre no primeiro dia útil de cada mês. </w:t>
      </w:r>
    </w:p>
    <w:p w:rsidR="006F7C05" w:rsidRDefault="006F7C05" w:rsidP="006F7C05">
      <w:pPr>
        <w:ind w:left="720" w:firstLine="414"/>
        <w:jc w:val="both"/>
        <w:rPr>
          <w:sz w:val="24"/>
          <w:szCs w:val="24"/>
        </w:rPr>
      </w:pPr>
      <w:r w:rsidRPr="006F7C05">
        <w:rPr>
          <w:sz w:val="24"/>
          <w:szCs w:val="24"/>
        </w:rPr>
        <w:t xml:space="preserve">§ 4º O limite a que se refere o § 3º não é acumulável para o mês subsequente, vedada a sua transferência, no todo ou em parte, para outra Liderança ou representação de partido político. </w:t>
      </w:r>
    </w:p>
    <w:p w:rsidR="006F7C05" w:rsidRDefault="006F7C05" w:rsidP="006F7C05">
      <w:pPr>
        <w:ind w:left="720" w:firstLine="414"/>
        <w:jc w:val="both"/>
        <w:rPr>
          <w:sz w:val="24"/>
          <w:szCs w:val="24"/>
        </w:rPr>
      </w:pPr>
      <w:r w:rsidRPr="006F7C05">
        <w:rPr>
          <w:sz w:val="24"/>
          <w:szCs w:val="24"/>
        </w:rPr>
        <w:t xml:space="preserve">§ 5º O disposto neste artigo fica assegurado às representações de partidos políticos com menos de um centésimo da composição da Câmara dos Deputados. </w:t>
      </w:r>
    </w:p>
    <w:p w:rsidR="006F7C05" w:rsidRPr="006F7C05" w:rsidRDefault="006F7C05" w:rsidP="006F7C05">
      <w:pPr>
        <w:ind w:left="720" w:firstLine="414"/>
        <w:jc w:val="both"/>
        <w:rPr>
          <w:i/>
          <w:sz w:val="24"/>
          <w:szCs w:val="24"/>
        </w:rPr>
      </w:pPr>
      <w:r w:rsidRPr="006F7C05">
        <w:rPr>
          <w:sz w:val="24"/>
          <w:szCs w:val="24"/>
        </w:rPr>
        <w:t>§ 6º As solicitações para utilização da cota serão formuladas por escrito e assinadas pelo Líder ou representante, devendo ser encaminhadas ao Departamento de Apoio Parlamentar, o qual deverá manter controle dos limites estabelecidos neste Ato.</w:t>
      </w:r>
      <w:r>
        <w:rPr>
          <w:sz w:val="24"/>
          <w:szCs w:val="24"/>
        </w:rPr>
        <w:t xml:space="preserve"> </w:t>
      </w:r>
      <w:hyperlink r:id="rId9" w:history="1">
        <w:r w:rsidRPr="00B83277">
          <w:rPr>
            <w:rStyle w:val="Hyperlink"/>
            <w:i/>
            <w:sz w:val="24"/>
            <w:szCs w:val="24"/>
          </w:rPr>
          <w:t>(Artigo acrescido pelo Ato da Mesa nº 43, de 25/6/2012)</w:t>
        </w:r>
      </w:hyperlink>
    </w:p>
    <w:p w:rsidR="006F7C05" w:rsidRDefault="006F7C05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6º O controle relativo às normas estabelecidas neste ato caberá ao Centro de Documentação e Informação.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7º Os casos omissos serão decididos pela Mesa Diretora da Câmara dos Deputados.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8º Este ato entra em vigor na data de sua publicação.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9º Ficam revogados os Atos da Mesa nº 56</w:t>
      </w:r>
      <w:r w:rsidR="006E6AE0">
        <w:rPr>
          <w:sz w:val="24"/>
        </w:rPr>
        <w:t>/</w:t>
      </w:r>
      <w:r>
        <w:rPr>
          <w:sz w:val="24"/>
        </w:rPr>
        <w:t>74, 18</w:t>
      </w:r>
      <w:r w:rsidR="006E6AE0">
        <w:rPr>
          <w:sz w:val="24"/>
        </w:rPr>
        <w:t>/</w:t>
      </w:r>
      <w:r>
        <w:rPr>
          <w:sz w:val="24"/>
        </w:rPr>
        <w:t>75, e 118</w:t>
      </w:r>
      <w:r w:rsidR="006E6AE0">
        <w:rPr>
          <w:sz w:val="24"/>
        </w:rPr>
        <w:t>/</w:t>
      </w:r>
      <w:r>
        <w:rPr>
          <w:sz w:val="24"/>
        </w:rPr>
        <w:t xml:space="preserve">82, e demais disposições em contrário.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Sala de Reuniões, em 5 de junho de 1997. 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</w:t>
      </w:r>
    </w:p>
    <w:p w:rsidR="00C944C3" w:rsidRDefault="00C944C3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 </w:t>
      </w:r>
    </w:p>
    <w:sectPr w:rsidR="00C944C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C05"/>
    <w:rsid w:val="000E2298"/>
    <w:rsid w:val="005D540C"/>
    <w:rsid w:val="006658F4"/>
    <w:rsid w:val="006B1C2E"/>
    <w:rsid w:val="006E6AE0"/>
    <w:rsid w:val="006F7C05"/>
    <w:rsid w:val="00935F68"/>
    <w:rsid w:val="00B83277"/>
    <w:rsid w:val="00C944C3"/>
    <w:rsid w:val="00D746F2"/>
    <w:rsid w:val="00D9686C"/>
    <w:rsid w:val="00E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F4BA70-0AB8-4A46-A583-79A129C6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6F7C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2.camara.gov.br/legin/int/atomes/2003/atodamesa-20-5-junho-2003-321701-publicacao-1-cd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2.camara.leg.br/legin/int/atomes/2003/atodamesa-20-5-junho-2003-321701-norma-cd-mes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2013/atodamesa-108-11-setembro-2013-777043-norma-cd-mesa.html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2.camara.leg.br/legin/int/atomes/2012/atodamesa-43-25-junho-2012-613484-norma-cd-mes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6083</CharactersWithSpaces>
  <SharedDoc>false</SharedDoc>
  <HLinks>
    <vt:vector size="24" baseType="variant">
      <vt:variant>
        <vt:i4>4718616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http://www2.camara.leg.br/legin/int/atomes/2012/atodamesa-43-25-junho-2012-613484-norma-cd-mesa.html</vt:lpwstr>
      </vt:variant>
      <vt:variant>
        <vt:lpwstr/>
      </vt:variant>
      <vt:variant>
        <vt:i4>3735669</vt:i4>
      </vt:variant>
      <vt:variant>
        <vt:i4>6</vt:i4>
      </vt:variant>
      <vt:variant>
        <vt:i4>0</vt:i4>
      </vt:variant>
      <vt:variant>
        <vt:i4>5</vt:i4>
      </vt:variant>
      <vt:variant>
        <vt:lpwstr>http://intranet2.camara.gov.br/legin/int/atomes/2003/atodamesa-20-5-junho-2003-321701-publicacao-1-cd.html</vt:lpwstr>
      </vt:variant>
      <vt:variant>
        <vt:lpwstr/>
      </vt:variant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http://www2.camara.leg.br/legin/int/atomes/2003/atodamesa-20-5-junho-2003-321701-norma-cd-mesa.html</vt:lpwstr>
      </vt:variant>
      <vt:variant>
        <vt:lpwstr/>
      </vt:variant>
      <vt:variant>
        <vt:i4>4522051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http://www2.camara.leg.br/legin/int/atomes/2013/atodamesa-108-11-setembro-2013-777043-norma-cd-mesa.html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2025-11-20T17:37:00Z</dcterms:created>
  <dcterms:modified xsi:type="dcterms:W3CDTF">2025-11-20T17:37:00Z</dcterms:modified>
</cp:coreProperties>
</file>