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E2490" w:rsidRDefault="00FE2490">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2pt;height:47.65pt;z-index:251657728;mso-wrap-distance-left:9.05pt;mso-wrap-distance-right:9.05pt" o:allowincell="f" filled="t">
            <v:fill color2="black"/>
            <v:imagedata r:id="rId5" o:title=""/>
            <w10:wrap type="square"/>
          </v:shape>
          <o:OLEObject Type="Embed" ProgID="PBrush" ShapeID="_x0000_s1026" DrawAspect="Content" ObjectID="_1825154707" r:id="rId6"/>
        </w:object>
      </w:r>
    </w:p>
    <w:p w:rsidR="00FE2490" w:rsidRDefault="00FE2490">
      <w:pPr>
        <w:pStyle w:val="Cabealho"/>
        <w:jc w:val="center"/>
      </w:pPr>
    </w:p>
    <w:p w:rsidR="00FE2490" w:rsidRDefault="00FE2490">
      <w:pPr>
        <w:pStyle w:val="Cabealho"/>
        <w:jc w:val="center"/>
      </w:pPr>
    </w:p>
    <w:p w:rsidR="00FE2490" w:rsidRDefault="00FE2490">
      <w:pPr>
        <w:pStyle w:val="Cabealho"/>
        <w:jc w:val="center"/>
      </w:pPr>
    </w:p>
    <w:p w:rsidR="00FE2490" w:rsidRDefault="00FE2490">
      <w:pPr>
        <w:pStyle w:val="Cabealho"/>
        <w:jc w:val="center"/>
      </w:pPr>
    </w:p>
    <w:p w:rsidR="00FE2490" w:rsidRDefault="00FE2490">
      <w:pPr>
        <w:pStyle w:val="Cabealho"/>
        <w:jc w:val="center"/>
      </w:pPr>
      <w:r>
        <w:t>CÂMARA DOS DEPUTADOS</w:t>
      </w:r>
    </w:p>
    <w:p w:rsidR="00FE2490" w:rsidRDefault="00FE2490">
      <w:pPr>
        <w:pStyle w:val="Cabealho"/>
        <w:jc w:val="center"/>
      </w:pPr>
      <w:r>
        <w:t>Centro de Documentação e Informação</w:t>
      </w:r>
    </w:p>
    <w:p w:rsidR="00FE2490" w:rsidRDefault="00FE2490">
      <w:pPr>
        <w:pStyle w:val="Cabealho"/>
        <w:jc w:val="both"/>
        <w:rPr>
          <w:sz w:val="24"/>
        </w:rPr>
      </w:pPr>
    </w:p>
    <w:p w:rsidR="00FE2490" w:rsidRDefault="00FE2490">
      <w:pPr>
        <w:pStyle w:val="Cabealho"/>
        <w:jc w:val="center"/>
        <w:rPr>
          <w:b/>
          <w:sz w:val="28"/>
        </w:rPr>
      </w:pPr>
      <w:r>
        <w:rPr>
          <w:b/>
          <w:sz w:val="28"/>
        </w:rPr>
        <w:t xml:space="preserve">ATO DA MESA Nº </w:t>
      </w:r>
      <w:r w:rsidR="00065B4E">
        <w:rPr>
          <w:b/>
          <w:sz w:val="28"/>
        </w:rPr>
        <w:t>85</w:t>
      </w:r>
      <w:r w:rsidR="00671378">
        <w:rPr>
          <w:b/>
          <w:sz w:val="28"/>
        </w:rPr>
        <w:t xml:space="preserve">, DE </w:t>
      </w:r>
      <w:r w:rsidR="00065B4E">
        <w:rPr>
          <w:b/>
          <w:sz w:val="28"/>
        </w:rPr>
        <w:t>3</w:t>
      </w:r>
      <w:r w:rsidR="00EC6483">
        <w:rPr>
          <w:b/>
          <w:sz w:val="28"/>
        </w:rPr>
        <w:t>0</w:t>
      </w:r>
      <w:r>
        <w:rPr>
          <w:b/>
          <w:sz w:val="28"/>
        </w:rPr>
        <w:t>/</w:t>
      </w:r>
      <w:r w:rsidR="00065B4E">
        <w:rPr>
          <w:b/>
          <w:sz w:val="28"/>
        </w:rPr>
        <w:t>6</w:t>
      </w:r>
      <w:r w:rsidR="008630D8">
        <w:rPr>
          <w:b/>
          <w:sz w:val="28"/>
        </w:rPr>
        <w:t>/19</w:t>
      </w:r>
      <w:r w:rsidR="00065B4E">
        <w:rPr>
          <w:b/>
          <w:sz w:val="28"/>
        </w:rPr>
        <w:t>88</w:t>
      </w:r>
    </w:p>
    <w:p w:rsidR="00FE2490" w:rsidRDefault="00FE2490">
      <w:pPr>
        <w:pStyle w:val="Cabealho"/>
        <w:jc w:val="both"/>
        <w:rPr>
          <w:sz w:val="24"/>
        </w:rPr>
      </w:pPr>
    </w:p>
    <w:p w:rsidR="00FE2490" w:rsidRDefault="00FE2490">
      <w:pPr>
        <w:pStyle w:val="Cabealho"/>
        <w:jc w:val="both"/>
        <w:rPr>
          <w:sz w:val="24"/>
        </w:rPr>
      </w:pPr>
    </w:p>
    <w:p w:rsidR="00FE2490" w:rsidRDefault="00065B4E">
      <w:pPr>
        <w:pStyle w:val="Cabealho"/>
        <w:ind w:left="4536"/>
        <w:jc w:val="both"/>
        <w:rPr>
          <w:sz w:val="24"/>
        </w:rPr>
      </w:pPr>
      <w:r w:rsidRPr="00065B4E">
        <w:rPr>
          <w:sz w:val="24"/>
        </w:rPr>
        <w:t>Dispõe sobre as funções do Secretariado Parlamentar e dá outras providências.</w:t>
      </w:r>
      <w:r>
        <w:rPr>
          <w:sz w:val="24"/>
        </w:rPr>
        <w:t xml:space="preserve"> </w:t>
      </w:r>
    </w:p>
    <w:p w:rsidR="00FE2490" w:rsidRDefault="00FE2490">
      <w:pPr>
        <w:pStyle w:val="Cabealho"/>
        <w:jc w:val="both"/>
        <w:rPr>
          <w:sz w:val="24"/>
        </w:rPr>
      </w:pPr>
    </w:p>
    <w:p w:rsidR="00FE2490" w:rsidRDefault="00FE2490">
      <w:pPr>
        <w:pStyle w:val="Cabealho"/>
        <w:jc w:val="both"/>
        <w:rPr>
          <w:sz w:val="24"/>
        </w:rPr>
      </w:pPr>
    </w:p>
    <w:p w:rsidR="00065B4E" w:rsidRPr="00065B4E" w:rsidRDefault="00065B4E" w:rsidP="00065B4E">
      <w:pPr>
        <w:pStyle w:val="Cabealho"/>
        <w:ind w:firstLine="1134"/>
        <w:jc w:val="both"/>
        <w:rPr>
          <w:sz w:val="24"/>
        </w:rPr>
      </w:pPr>
      <w:r w:rsidRPr="00065B4E">
        <w:rPr>
          <w:sz w:val="24"/>
        </w:rPr>
        <w:t xml:space="preserve">A MESA DA CÂMARA DOS DEPUTADOS, no uso de suas atribuições, </w:t>
      </w:r>
    </w:p>
    <w:p w:rsidR="00065B4E" w:rsidRPr="00065B4E" w:rsidRDefault="00065B4E" w:rsidP="00065B4E">
      <w:pPr>
        <w:pStyle w:val="Cabealho"/>
        <w:ind w:firstLine="1134"/>
        <w:jc w:val="both"/>
        <w:rPr>
          <w:sz w:val="24"/>
        </w:rPr>
      </w:pPr>
    </w:p>
    <w:p w:rsidR="00065B4E" w:rsidRPr="00065B4E" w:rsidRDefault="00065B4E" w:rsidP="00065B4E">
      <w:pPr>
        <w:pStyle w:val="Cabealho"/>
        <w:ind w:firstLine="1134"/>
        <w:jc w:val="both"/>
        <w:rPr>
          <w:sz w:val="24"/>
        </w:rPr>
      </w:pPr>
      <w:r w:rsidRPr="00065B4E">
        <w:rPr>
          <w:sz w:val="24"/>
        </w:rPr>
        <w:t xml:space="preserve">RESOLVE: </w:t>
      </w:r>
    </w:p>
    <w:p w:rsidR="00065B4E" w:rsidRPr="00065B4E" w:rsidRDefault="00065B4E" w:rsidP="00065B4E">
      <w:pPr>
        <w:pStyle w:val="Cabealho"/>
        <w:ind w:firstLine="1134"/>
        <w:jc w:val="both"/>
        <w:rPr>
          <w:sz w:val="24"/>
        </w:rPr>
      </w:pPr>
    </w:p>
    <w:p w:rsidR="00065B4E" w:rsidRPr="00065B4E" w:rsidRDefault="00065B4E" w:rsidP="00065B4E">
      <w:pPr>
        <w:pStyle w:val="Cabealho"/>
        <w:ind w:firstLine="1134"/>
        <w:jc w:val="both"/>
        <w:rPr>
          <w:sz w:val="24"/>
        </w:rPr>
      </w:pPr>
      <w:r w:rsidRPr="00065B4E">
        <w:rPr>
          <w:sz w:val="24"/>
        </w:rPr>
        <w:t xml:space="preserve">Art. 1º Ficam estabelecidos, na forma da tabela anexa, os níveis de retribuição salarial das funções de confiança a serem exercidas em gabinetes de deputado, a quem compete fazer a indicação nominal e da respectiva retribuição mensal, observado, na implantação deste regime, o limite da remuneração global atribuída ao secretariado parlamentar, por gabinete, e que atenderá exclusivamente ao pagamento dos contratados. </w:t>
      </w:r>
    </w:p>
    <w:p w:rsidR="00065B4E" w:rsidRPr="00065B4E" w:rsidRDefault="00065B4E" w:rsidP="00065B4E">
      <w:pPr>
        <w:pStyle w:val="Cabealho"/>
        <w:ind w:firstLine="1134"/>
        <w:jc w:val="both"/>
        <w:rPr>
          <w:sz w:val="24"/>
        </w:rPr>
      </w:pPr>
      <w:r w:rsidRPr="00065B4E">
        <w:rPr>
          <w:sz w:val="24"/>
        </w:rPr>
        <w:t xml:space="preserve">Parágrafo único. Não serão compensados ou ressarcidas as diferenças salariais decorrentes das indicações que não atingirem o limite máximo estabelecido neste artigo. </w:t>
      </w:r>
    </w:p>
    <w:p w:rsidR="00065B4E" w:rsidRPr="00065B4E" w:rsidRDefault="00065B4E" w:rsidP="00065B4E">
      <w:pPr>
        <w:pStyle w:val="Cabealho"/>
        <w:ind w:firstLine="1134"/>
        <w:jc w:val="both"/>
        <w:rPr>
          <w:sz w:val="24"/>
        </w:rPr>
      </w:pPr>
    </w:p>
    <w:p w:rsidR="00065B4E" w:rsidRPr="00065B4E" w:rsidRDefault="00065B4E" w:rsidP="00065B4E">
      <w:pPr>
        <w:pStyle w:val="Cabealho"/>
        <w:ind w:firstLine="1134"/>
        <w:jc w:val="both"/>
        <w:rPr>
          <w:sz w:val="24"/>
        </w:rPr>
      </w:pPr>
      <w:r w:rsidRPr="00065B4E">
        <w:rPr>
          <w:sz w:val="24"/>
        </w:rPr>
        <w:t xml:space="preserve">Art. 2º Os ocupantes das funções de confiança em gabinete de deputado terão as seguintes atribuições: redação de correspondência, discurso e pareceres do parlamentar; atendimento a pessoas encaminhadas ao gabinete; execução de serviços de secretaria e datilográficos; execução de pesquisas; acompanhamento de assuntos de interesse do parlamentar junto a órgãos públicos; entrega e recebimento de correspondência; condução de veículos de propriedade do deputado e execução de outras atividades que lhes forem cometidas pelo titular do gabinete. </w:t>
      </w:r>
    </w:p>
    <w:p w:rsidR="00065B4E" w:rsidRPr="00065B4E" w:rsidRDefault="00065B4E" w:rsidP="00065B4E">
      <w:pPr>
        <w:pStyle w:val="Cabealho"/>
        <w:ind w:firstLine="1134"/>
        <w:jc w:val="both"/>
        <w:rPr>
          <w:sz w:val="24"/>
        </w:rPr>
      </w:pPr>
    </w:p>
    <w:p w:rsidR="00065B4E" w:rsidRPr="00065B4E" w:rsidRDefault="00065B4E" w:rsidP="00065B4E">
      <w:pPr>
        <w:pStyle w:val="Cabealho"/>
        <w:ind w:firstLine="1134"/>
        <w:jc w:val="both"/>
        <w:rPr>
          <w:sz w:val="24"/>
        </w:rPr>
      </w:pPr>
      <w:r w:rsidRPr="00065B4E">
        <w:rPr>
          <w:sz w:val="24"/>
        </w:rPr>
        <w:t xml:space="preserve">Art. 3º </w:t>
      </w:r>
      <w:r w:rsidR="009B0B25" w:rsidRPr="009B0B25">
        <w:rPr>
          <w:sz w:val="24"/>
        </w:rPr>
        <w:t>A lotação do gabinete do deputado fica limitado ao máximo de 12 (doze) servidores re</w:t>
      </w:r>
      <w:r w:rsidR="009B0B25">
        <w:rPr>
          <w:sz w:val="24"/>
        </w:rPr>
        <w:t>munerados.</w:t>
      </w:r>
      <w:r w:rsidR="00900EE7">
        <w:rPr>
          <w:sz w:val="24"/>
        </w:rPr>
        <w:t xml:space="preserve"> </w:t>
      </w:r>
      <w:hyperlink r:id="rId7" w:history="1">
        <w:r w:rsidR="00900EE7" w:rsidRPr="009B0B25">
          <w:rPr>
            <w:rStyle w:val="Hyperlink"/>
            <w:i/>
            <w:sz w:val="24"/>
          </w:rPr>
          <w:t xml:space="preserve">(“Caput” do artigo com redação dada pelo Ato da Mesa nº </w:t>
        </w:r>
        <w:r w:rsidR="009B0B25" w:rsidRPr="009B0B25">
          <w:rPr>
            <w:rStyle w:val="Hyperlink"/>
            <w:i/>
            <w:sz w:val="24"/>
          </w:rPr>
          <w:t>157</w:t>
        </w:r>
        <w:r w:rsidR="00900EE7" w:rsidRPr="009B0B25">
          <w:rPr>
            <w:rStyle w:val="Hyperlink"/>
            <w:i/>
            <w:sz w:val="24"/>
          </w:rPr>
          <w:t xml:space="preserve">, de </w:t>
        </w:r>
        <w:r w:rsidR="009B0B25" w:rsidRPr="009B0B25">
          <w:rPr>
            <w:rStyle w:val="Hyperlink"/>
            <w:i/>
            <w:sz w:val="24"/>
          </w:rPr>
          <w:t>13/9/1989</w:t>
        </w:r>
        <w:r w:rsidR="00900EE7" w:rsidRPr="009B0B25">
          <w:rPr>
            <w:rStyle w:val="Hyperlink"/>
            <w:i/>
            <w:sz w:val="24"/>
          </w:rPr>
          <w:t>)</w:t>
        </w:r>
      </w:hyperlink>
      <w:r w:rsidRPr="00900EE7">
        <w:rPr>
          <w:i/>
          <w:sz w:val="24"/>
        </w:rPr>
        <w:t xml:space="preserve"> </w:t>
      </w:r>
    </w:p>
    <w:p w:rsidR="00065B4E" w:rsidRPr="00065B4E" w:rsidRDefault="00065B4E" w:rsidP="00065B4E">
      <w:pPr>
        <w:pStyle w:val="Cabealho"/>
        <w:ind w:firstLine="1134"/>
        <w:jc w:val="both"/>
        <w:rPr>
          <w:sz w:val="24"/>
        </w:rPr>
      </w:pPr>
      <w:r w:rsidRPr="00065B4E">
        <w:rPr>
          <w:sz w:val="24"/>
        </w:rPr>
        <w:t xml:space="preserve">§ 1º A indicação para contratação pelo regime da Consolidação das Leis do Trabalho e Fundo de Garantia por Tempo de Serviço ou, quando for o caso, pela verba de representação de gabinete, será feita pelo titular do gabinete ao Diretor-Geral, produzindo os seus efeitos a partir da data de recebimento no protocolo da Coordenação de Apoio Parlamentar, vedada a retroação. </w:t>
      </w:r>
    </w:p>
    <w:p w:rsidR="00065B4E" w:rsidRPr="00065B4E" w:rsidRDefault="00065B4E" w:rsidP="00065B4E">
      <w:pPr>
        <w:pStyle w:val="Cabealho"/>
        <w:ind w:firstLine="1134"/>
        <w:jc w:val="both"/>
        <w:rPr>
          <w:sz w:val="24"/>
        </w:rPr>
      </w:pPr>
      <w:r w:rsidRPr="00065B4E">
        <w:rPr>
          <w:sz w:val="24"/>
        </w:rPr>
        <w:t xml:space="preserve">§ 2º A indicação somente será recebida com os seguintes documentos: </w:t>
      </w:r>
    </w:p>
    <w:p w:rsidR="00065B4E" w:rsidRPr="00065B4E" w:rsidRDefault="00065B4E" w:rsidP="00065B4E">
      <w:pPr>
        <w:pStyle w:val="Cabealho"/>
        <w:ind w:firstLine="1134"/>
        <w:jc w:val="both"/>
        <w:rPr>
          <w:sz w:val="24"/>
        </w:rPr>
      </w:pPr>
      <w:r w:rsidRPr="00065B4E">
        <w:rPr>
          <w:sz w:val="24"/>
        </w:rPr>
        <w:t xml:space="preserve">a) Carteira de Trabalho e Previdência Social - CTPS;  </w:t>
      </w:r>
    </w:p>
    <w:p w:rsidR="00065B4E" w:rsidRPr="00065B4E" w:rsidRDefault="00065B4E" w:rsidP="00065B4E">
      <w:pPr>
        <w:pStyle w:val="Cabealho"/>
        <w:ind w:firstLine="1134"/>
        <w:jc w:val="both"/>
        <w:rPr>
          <w:sz w:val="24"/>
        </w:rPr>
      </w:pPr>
      <w:r w:rsidRPr="00065B4E">
        <w:rPr>
          <w:sz w:val="24"/>
        </w:rPr>
        <w:t xml:space="preserve">b) Título de Eleitor;  </w:t>
      </w:r>
    </w:p>
    <w:p w:rsidR="00065B4E" w:rsidRPr="00065B4E" w:rsidRDefault="00065B4E" w:rsidP="00065B4E">
      <w:pPr>
        <w:pStyle w:val="Cabealho"/>
        <w:ind w:firstLine="1134"/>
        <w:jc w:val="both"/>
        <w:rPr>
          <w:sz w:val="24"/>
        </w:rPr>
      </w:pPr>
      <w:r w:rsidRPr="00065B4E">
        <w:rPr>
          <w:sz w:val="24"/>
        </w:rPr>
        <w:t>c) Certificado de Reservista ou, quando for o caso, certi</w:t>
      </w:r>
      <w:r>
        <w:rPr>
          <w:sz w:val="24"/>
        </w:rPr>
        <w:t>ficado de alistamento militar;</w:t>
      </w:r>
    </w:p>
    <w:p w:rsidR="00065B4E" w:rsidRPr="00065B4E" w:rsidRDefault="00065B4E" w:rsidP="00065B4E">
      <w:pPr>
        <w:pStyle w:val="Cabealho"/>
        <w:ind w:firstLine="1134"/>
        <w:jc w:val="both"/>
        <w:rPr>
          <w:sz w:val="24"/>
        </w:rPr>
      </w:pPr>
      <w:r w:rsidRPr="00065B4E">
        <w:rPr>
          <w:sz w:val="24"/>
        </w:rPr>
        <w:lastRenderedPageBreak/>
        <w:t xml:space="preserve">d) Cadastro de Pessoa Física - CPF;  </w:t>
      </w:r>
    </w:p>
    <w:p w:rsidR="00065B4E" w:rsidRPr="00065B4E" w:rsidRDefault="00065B4E" w:rsidP="00065B4E">
      <w:pPr>
        <w:pStyle w:val="Cabealho"/>
        <w:ind w:firstLine="1134"/>
        <w:jc w:val="both"/>
        <w:rPr>
          <w:sz w:val="24"/>
        </w:rPr>
      </w:pPr>
      <w:r w:rsidRPr="00065B4E">
        <w:rPr>
          <w:sz w:val="24"/>
        </w:rPr>
        <w:t xml:space="preserve">e) Três fotos 3x4;  </w:t>
      </w:r>
    </w:p>
    <w:p w:rsidR="00065B4E" w:rsidRPr="00065B4E" w:rsidRDefault="00065B4E" w:rsidP="00065B4E">
      <w:pPr>
        <w:pStyle w:val="Cabealho"/>
        <w:ind w:firstLine="1134"/>
        <w:jc w:val="both"/>
        <w:rPr>
          <w:sz w:val="24"/>
        </w:rPr>
      </w:pPr>
      <w:r w:rsidRPr="00065B4E">
        <w:rPr>
          <w:sz w:val="24"/>
        </w:rPr>
        <w:t xml:space="preserve">f) Carteira de Identidade.  </w:t>
      </w:r>
    </w:p>
    <w:p w:rsidR="00065B4E" w:rsidRPr="00065B4E" w:rsidRDefault="00065B4E" w:rsidP="00065B4E">
      <w:pPr>
        <w:pStyle w:val="Cabealho"/>
        <w:ind w:firstLine="1134"/>
        <w:jc w:val="both"/>
        <w:rPr>
          <w:sz w:val="24"/>
        </w:rPr>
      </w:pPr>
    </w:p>
    <w:p w:rsidR="00065B4E" w:rsidRPr="00065B4E" w:rsidRDefault="00065B4E" w:rsidP="00065B4E">
      <w:pPr>
        <w:pStyle w:val="Cabealho"/>
        <w:ind w:firstLine="1134"/>
        <w:jc w:val="both"/>
        <w:rPr>
          <w:sz w:val="24"/>
        </w:rPr>
      </w:pPr>
      <w:r w:rsidRPr="00065B4E">
        <w:rPr>
          <w:sz w:val="24"/>
        </w:rPr>
        <w:t xml:space="preserve">Art. 4º A jornada de trabalho será de 40 (quarenta) horas semanais, cumprida de acordo com a determinação do titular. </w:t>
      </w:r>
    </w:p>
    <w:p w:rsidR="00065B4E" w:rsidRPr="00065B4E" w:rsidRDefault="00065B4E" w:rsidP="00065B4E">
      <w:pPr>
        <w:pStyle w:val="Cabealho"/>
        <w:ind w:firstLine="1134"/>
        <w:jc w:val="both"/>
        <w:rPr>
          <w:sz w:val="24"/>
        </w:rPr>
      </w:pPr>
    </w:p>
    <w:p w:rsidR="00065B4E" w:rsidRPr="00065B4E" w:rsidRDefault="00065B4E" w:rsidP="00065B4E">
      <w:pPr>
        <w:pStyle w:val="Cabealho"/>
        <w:ind w:firstLine="1134"/>
        <w:jc w:val="both"/>
        <w:rPr>
          <w:sz w:val="24"/>
        </w:rPr>
      </w:pPr>
      <w:r w:rsidRPr="00065B4E">
        <w:rPr>
          <w:sz w:val="24"/>
        </w:rPr>
        <w:t xml:space="preserve">Art. 5º </w:t>
      </w:r>
      <w:r w:rsidR="00AF5818" w:rsidRPr="00AF5818">
        <w:rPr>
          <w:sz w:val="24"/>
        </w:rPr>
        <w:t>A retribuição salarial obedecerá a escala de 16 (dezesseis) níveis estabelecida na tabela anexa, respeitado o limite fixado no art. 3º e vedada qualquer vantagem acessória.</w:t>
      </w:r>
      <w:r w:rsidRPr="00065B4E">
        <w:rPr>
          <w:sz w:val="24"/>
        </w:rPr>
        <w:t xml:space="preserve"> </w:t>
      </w:r>
      <w:hyperlink r:id="rId8" w:history="1">
        <w:r w:rsidR="00AF5818" w:rsidRPr="00900EE7">
          <w:rPr>
            <w:rStyle w:val="Hyperlink"/>
            <w:i/>
            <w:sz w:val="24"/>
          </w:rPr>
          <w:t>(“Caput” do artigo com redação dada pelo Ato da Mesa nº 87, de 29/7/1988)</w:t>
        </w:r>
      </w:hyperlink>
    </w:p>
    <w:p w:rsidR="00065B4E" w:rsidRPr="00065B4E" w:rsidRDefault="00065B4E" w:rsidP="00065B4E">
      <w:pPr>
        <w:pStyle w:val="Cabealho"/>
        <w:ind w:firstLine="1134"/>
        <w:jc w:val="both"/>
        <w:rPr>
          <w:sz w:val="24"/>
        </w:rPr>
      </w:pPr>
      <w:r w:rsidRPr="00065B4E">
        <w:rPr>
          <w:sz w:val="24"/>
        </w:rPr>
        <w:t xml:space="preserve">§ 1º Os reajustes salariais do Secretariado Parlamentar ocorrerão na mesma data e em percentuais idênticos aos concedidos aos servidores da Câmara dos Deputados. </w:t>
      </w:r>
    </w:p>
    <w:p w:rsidR="00065B4E" w:rsidRPr="00065B4E" w:rsidRDefault="00065B4E" w:rsidP="00065B4E">
      <w:pPr>
        <w:pStyle w:val="Cabealho"/>
        <w:ind w:firstLine="1134"/>
        <w:jc w:val="both"/>
        <w:rPr>
          <w:sz w:val="24"/>
        </w:rPr>
      </w:pPr>
      <w:r w:rsidRPr="00065B4E">
        <w:rPr>
          <w:sz w:val="24"/>
        </w:rPr>
        <w:t xml:space="preserve">§ 2º O Primeiro-Secretário fixará o valor dos recursos a que se refere o art. 1º. </w:t>
      </w:r>
    </w:p>
    <w:p w:rsidR="00065B4E" w:rsidRPr="00065B4E" w:rsidRDefault="00065B4E" w:rsidP="00065B4E">
      <w:pPr>
        <w:pStyle w:val="Cabealho"/>
        <w:ind w:firstLine="1134"/>
        <w:jc w:val="both"/>
        <w:rPr>
          <w:sz w:val="24"/>
        </w:rPr>
      </w:pPr>
    </w:p>
    <w:p w:rsidR="00065B4E" w:rsidRPr="00065B4E" w:rsidRDefault="00065B4E" w:rsidP="00065B4E">
      <w:pPr>
        <w:pStyle w:val="Cabealho"/>
        <w:ind w:firstLine="1134"/>
        <w:jc w:val="both"/>
        <w:rPr>
          <w:sz w:val="24"/>
        </w:rPr>
      </w:pPr>
      <w:r w:rsidRPr="00065B4E">
        <w:rPr>
          <w:sz w:val="24"/>
        </w:rPr>
        <w:t xml:space="preserve">Art. 6º O contratado fica sujeito ao regime disciplinar da Câmara dos Deputados, devendo sua freqüência ser atestada pelo deputado e as férias serão concedidas nos meses de janeiro ou julho, mediante escala fixada pelo titular, observada a proibição de acumulação prevista em lei. </w:t>
      </w:r>
    </w:p>
    <w:p w:rsidR="00065B4E" w:rsidRPr="00065B4E" w:rsidRDefault="00065B4E" w:rsidP="00065B4E">
      <w:pPr>
        <w:pStyle w:val="Cabealho"/>
        <w:ind w:firstLine="1134"/>
        <w:jc w:val="both"/>
        <w:rPr>
          <w:sz w:val="24"/>
        </w:rPr>
      </w:pPr>
    </w:p>
    <w:p w:rsidR="00065B4E" w:rsidRPr="00065B4E" w:rsidRDefault="00065B4E" w:rsidP="00065B4E">
      <w:pPr>
        <w:pStyle w:val="Cabealho"/>
        <w:ind w:firstLine="1134"/>
        <w:jc w:val="both"/>
        <w:rPr>
          <w:sz w:val="24"/>
        </w:rPr>
      </w:pPr>
      <w:r w:rsidRPr="00065B4E">
        <w:rPr>
          <w:sz w:val="24"/>
        </w:rPr>
        <w:t xml:space="preserve">Art. 7º Fica vedada a prestação de serviços em gabinetes de deputados por servidor da Câmara dos Deputados, em atividade, ou por pessoa não admitida de acordo com este ato, exceto os integrantes da categoria funcional de adjunto parlamentar e os requisitados de outros órgãos na forma da legislação. </w:t>
      </w:r>
    </w:p>
    <w:p w:rsidR="00065B4E" w:rsidRPr="00065B4E" w:rsidRDefault="00065B4E" w:rsidP="00065B4E">
      <w:pPr>
        <w:pStyle w:val="Cabealho"/>
        <w:ind w:firstLine="1134"/>
        <w:jc w:val="both"/>
        <w:rPr>
          <w:sz w:val="24"/>
        </w:rPr>
      </w:pPr>
      <w:r w:rsidRPr="00065B4E">
        <w:rPr>
          <w:sz w:val="24"/>
        </w:rPr>
        <w:t xml:space="preserve">Parágrafo único. No prazo de 90 (noventa) dias, os servidores da Câmara dos Deputados, à disposição dos gabinetes parlamentares, serão apresentados ao Departamento de Pessoal para relotação, sob pena de suspensão do pagamento da Gratificação Especial de Desempenho. </w:t>
      </w:r>
    </w:p>
    <w:p w:rsidR="00065B4E" w:rsidRPr="00065B4E" w:rsidRDefault="00065B4E" w:rsidP="00065B4E">
      <w:pPr>
        <w:pStyle w:val="Cabealho"/>
        <w:ind w:firstLine="1134"/>
        <w:jc w:val="both"/>
        <w:rPr>
          <w:sz w:val="24"/>
        </w:rPr>
      </w:pPr>
    </w:p>
    <w:p w:rsidR="00065B4E" w:rsidRPr="00065B4E" w:rsidRDefault="00065B4E" w:rsidP="00065B4E">
      <w:pPr>
        <w:pStyle w:val="Cabealho"/>
        <w:ind w:firstLine="1134"/>
        <w:jc w:val="both"/>
        <w:rPr>
          <w:sz w:val="24"/>
        </w:rPr>
      </w:pPr>
      <w:r w:rsidRPr="00065B4E">
        <w:rPr>
          <w:sz w:val="24"/>
        </w:rPr>
        <w:t xml:space="preserve">Art. 8º A rescisão contratual, dentro do prazo inferior a 30 (trinta) dias da data da admissão, somente poderá ocorrer a pedido ou por justa causa. </w:t>
      </w:r>
    </w:p>
    <w:p w:rsidR="00065B4E" w:rsidRPr="00065B4E" w:rsidRDefault="00065B4E" w:rsidP="00065B4E">
      <w:pPr>
        <w:pStyle w:val="Cabealho"/>
        <w:ind w:firstLine="1134"/>
        <w:jc w:val="both"/>
        <w:rPr>
          <w:sz w:val="24"/>
        </w:rPr>
      </w:pPr>
    </w:p>
    <w:p w:rsidR="00065B4E" w:rsidRPr="00065B4E" w:rsidRDefault="00065B4E" w:rsidP="00065B4E">
      <w:pPr>
        <w:pStyle w:val="Cabealho"/>
        <w:ind w:firstLine="1134"/>
        <w:jc w:val="both"/>
        <w:rPr>
          <w:sz w:val="24"/>
        </w:rPr>
      </w:pPr>
      <w:r w:rsidRPr="00065B4E">
        <w:rPr>
          <w:sz w:val="24"/>
        </w:rPr>
        <w:t xml:space="preserve">Art. 9º É vedada a admissão, a qualquer título, para as funções de confiança do Secretariado Parlamentar, de quem tenha sido delas demitido:  </w:t>
      </w:r>
    </w:p>
    <w:p w:rsidR="00065B4E" w:rsidRPr="00065B4E" w:rsidRDefault="00065B4E" w:rsidP="00065B4E">
      <w:pPr>
        <w:pStyle w:val="Cabealho"/>
        <w:ind w:firstLine="1134"/>
        <w:jc w:val="both"/>
        <w:rPr>
          <w:sz w:val="24"/>
        </w:rPr>
      </w:pPr>
      <w:r w:rsidRPr="00065B4E">
        <w:rPr>
          <w:sz w:val="24"/>
        </w:rPr>
        <w:t xml:space="preserve">a) há menos de 30 (trinta) dias, se a demissão ocorreu a pedido do servidor, ou sem justa causa, com o cumprimento do aviso prévio;  </w:t>
      </w:r>
    </w:p>
    <w:p w:rsidR="00065B4E" w:rsidRPr="00065B4E" w:rsidRDefault="00065B4E" w:rsidP="00065B4E">
      <w:pPr>
        <w:pStyle w:val="Cabealho"/>
        <w:ind w:firstLine="1134"/>
        <w:jc w:val="both"/>
        <w:rPr>
          <w:sz w:val="24"/>
        </w:rPr>
      </w:pPr>
      <w:r w:rsidRPr="00065B4E">
        <w:rPr>
          <w:sz w:val="24"/>
        </w:rPr>
        <w:t xml:space="preserve">b) há menos de 60 (sessenta) dias,se a demissão ocorreu por iniciativa do parlamentar, sem justa causa e com dispensa do cumprimento do aviso prévio;  </w:t>
      </w:r>
    </w:p>
    <w:p w:rsidR="00065B4E" w:rsidRPr="00065B4E" w:rsidRDefault="00065B4E" w:rsidP="00065B4E">
      <w:pPr>
        <w:pStyle w:val="Cabealho"/>
        <w:ind w:firstLine="1134"/>
        <w:jc w:val="both"/>
        <w:rPr>
          <w:sz w:val="24"/>
        </w:rPr>
      </w:pPr>
      <w:r w:rsidRPr="00065B4E">
        <w:rPr>
          <w:sz w:val="24"/>
        </w:rPr>
        <w:t xml:space="preserve">c) a qualquer tempo, se a demissão ocorreu por justa causa.  </w:t>
      </w:r>
    </w:p>
    <w:p w:rsidR="00065B4E" w:rsidRPr="00065B4E" w:rsidRDefault="00065B4E" w:rsidP="00065B4E">
      <w:pPr>
        <w:pStyle w:val="Cabealho"/>
        <w:ind w:firstLine="1134"/>
        <w:jc w:val="both"/>
        <w:rPr>
          <w:sz w:val="24"/>
        </w:rPr>
      </w:pPr>
    </w:p>
    <w:p w:rsidR="00065B4E" w:rsidRPr="00065B4E" w:rsidRDefault="00065B4E" w:rsidP="00065B4E">
      <w:pPr>
        <w:pStyle w:val="Cabealho"/>
        <w:ind w:firstLine="1134"/>
        <w:jc w:val="both"/>
        <w:rPr>
          <w:sz w:val="24"/>
        </w:rPr>
      </w:pPr>
      <w:r w:rsidRPr="00065B4E">
        <w:rPr>
          <w:sz w:val="24"/>
        </w:rPr>
        <w:t xml:space="preserve">Art. 10. Não poderá ser cedido a qualquer entidade pública, federal, estadual ou municipal, da administração direta ou indireta, e a fundações, quem for admitido para o exercício das funções de confiança do secretariado parlamentar. </w:t>
      </w:r>
    </w:p>
    <w:p w:rsidR="00065B4E" w:rsidRPr="00065B4E" w:rsidRDefault="00065B4E" w:rsidP="00065B4E">
      <w:pPr>
        <w:pStyle w:val="Cabealho"/>
        <w:ind w:firstLine="1134"/>
        <w:jc w:val="both"/>
        <w:rPr>
          <w:sz w:val="24"/>
        </w:rPr>
      </w:pPr>
    </w:p>
    <w:p w:rsidR="00065B4E" w:rsidRPr="00065B4E" w:rsidRDefault="00065B4E" w:rsidP="00065B4E">
      <w:pPr>
        <w:pStyle w:val="Cabealho"/>
        <w:ind w:firstLine="1134"/>
        <w:jc w:val="both"/>
        <w:rPr>
          <w:sz w:val="24"/>
        </w:rPr>
      </w:pPr>
      <w:r w:rsidRPr="00065B4E">
        <w:rPr>
          <w:sz w:val="24"/>
        </w:rPr>
        <w:t xml:space="preserve">Art. 11. Os ocupantes das atuais funções do secretariado parlamentar poderão ser indicados para a nova situação, no prazo de 30 (trinta) dias da publicação deste ato, mediante manifestação expressa do parlamentar, vedado o decesso salarial. </w:t>
      </w:r>
    </w:p>
    <w:p w:rsidR="00065B4E" w:rsidRPr="00065B4E" w:rsidRDefault="00065B4E" w:rsidP="00065B4E">
      <w:pPr>
        <w:pStyle w:val="Cabealho"/>
        <w:ind w:firstLine="1134"/>
        <w:jc w:val="both"/>
        <w:rPr>
          <w:sz w:val="24"/>
        </w:rPr>
      </w:pPr>
      <w:r w:rsidRPr="00065B4E">
        <w:rPr>
          <w:sz w:val="24"/>
        </w:rPr>
        <w:lastRenderedPageBreak/>
        <w:t xml:space="preserve">Parágrafo único. Ao término do prazo de 30 (trinta) dias, não havendo manifestação do deputado, serão mantidos os atuais servidores, observando-se a tabela em anexo, passando o Assistente de Gabinete Parlamentar ao nível SP-10, o Secretário de Gabinete Parlamentar ao nível SP-08, o Auxiliar de Gabinete Parlamentar ao nível SP-05 e o Ajudante de Gabinete Parlamentar ao nível SP-03. </w:t>
      </w:r>
    </w:p>
    <w:p w:rsidR="00065B4E" w:rsidRPr="00065B4E" w:rsidRDefault="00065B4E" w:rsidP="00065B4E">
      <w:pPr>
        <w:pStyle w:val="Cabealho"/>
        <w:ind w:firstLine="1134"/>
        <w:jc w:val="both"/>
        <w:rPr>
          <w:sz w:val="24"/>
        </w:rPr>
      </w:pPr>
    </w:p>
    <w:p w:rsidR="00065B4E" w:rsidRPr="00065B4E" w:rsidRDefault="00065B4E" w:rsidP="00065B4E">
      <w:pPr>
        <w:pStyle w:val="Cabealho"/>
        <w:ind w:firstLine="1134"/>
        <w:jc w:val="both"/>
        <w:rPr>
          <w:sz w:val="24"/>
        </w:rPr>
      </w:pPr>
      <w:r w:rsidRPr="00065B4E">
        <w:rPr>
          <w:sz w:val="24"/>
        </w:rPr>
        <w:t xml:space="preserve">Art. 12. As despesas decorrentes deste ato serão atendidas pelos recursos orçamentários da Câmara dos Deputados. </w:t>
      </w:r>
    </w:p>
    <w:p w:rsidR="00065B4E" w:rsidRPr="00065B4E" w:rsidRDefault="00065B4E" w:rsidP="00065B4E">
      <w:pPr>
        <w:pStyle w:val="Cabealho"/>
        <w:ind w:firstLine="1134"/>
        <w:jc w:val="both"/>
        <w:rPr>
          <w:sz w:val="24"/>
        </w:rPr>
      </w:pPr>
    </w:p>
    <w:p w:rsidR="00065B4E" w:rsidRPr="00065B4E" w:rsidRDefault="00065B4E" w:rsidP="00065B4E">
      <w:pPr>
        <w:pStyle w:val="Cabealho"/>
        <w:ind w:firstLine="1134"/>
        <w:jc w:val="both"/>
        <w:rPr>
          <w:sz w:val="24"/>
        </w:rPr>
      </w:pPr>
      <w:r w:rsidRPr="00065B4E">
        <w:rPr>
          <w:sz w:val="24"/>
        </w:rPr>
        <w:t>Art. 13. Este ato entra em vigor na data de sua publicação, revogadas as disposições em contrário.</w:t>
      </w:r>
    </w:p>
    <w:p w:rsidR="00065B4E" w:rsidRPr="00065B4E" w:rsidRDefault="00065B4E" w:rsidP="00065B4E">
      <w:pPr>
        <w:pStyle w:val="Cabealho"/>
        <w:ind w:firstLine="1134"/>
        <w:jc w:val="both"/>
        <w:rPr>
          <w:sz w:val="24"/>
        </w:rPr>
      </w:pPr>
    </w:p>
    <w:p w:rsidR="00065B4E" w:rsidRPr="00065B4E" w:rsidRDefault="00065B4E" w:rsidP="00065B4E">
      <w:pPr>
        <w:pStyle w:val="Cabealho"/>
        <w:ind w:firstLine="1134"/>
        <w:jc w:val="both"/>
        <w:rPr>
          <w:sz w:val="24"/>
        </w:rPr>
      </w:pPr>
      <w:r w:rsidRPr="00065B4E">
        <w:rPr>
          <w:sz w:val="24"/>
        </w:rPr>
        <w:t>Sala das Reuniões, 30 de junho de 1988.</w:t>
      </w:r>
    </w:p>
    <w:p w:rsidR="00065B4E" w:rsidRPr="00065B4E" w:rsidRDefault="00065B4E" w:rsidP="00065B4E">
      <w:pPr>
        <w:pStyle w:val="Cabealho"/>
        <w:ind w:firstLine="1134"/>
        <w:jc w:val="both"/>
        <w:rPr>
          <w:sz w:val="24"/>
        </w:rPr>
      </w:pPr>
    </w:p>
    <w:p w:rsidR="00065B4E" w:rsidRPr="00065B4E" w:rsidRDefault="00065B4E" w:rsidP="00065B4E">
      <w:pPr>
        <w:pStyle w:val="Cabealho"/>
        <w:ind w:firstLine="1134"/>
        <w:jc w:val="both"/>
        <w:rPr>
          <w:sz w:val="24"/>
        </w:rPr>
      </w:pPr>
      <w:r w:rsidRPr="00065B4E">
        <w:rPr>
          <w:sz w:val="24"/>
        </w:rPr>
        <w:t>ULYSSES GUIMARÃES,</w:t>
      </w:r>
    </w:p>
    <w:p w:rsidR="00055283" w:rsidRDefault="00065B4E" w:rsidP="00065B4E">
      <w:pPr>
        <w:pStyle w:val="Cabealho"/>
        <w:ind w:firstLine="1134"/>
        <w:jc w:val="both"/>
        <w:rPr>
          <w:sz w:val="24"/>
        </w:rPr>
      </w:pPr>
      <w:r w:rsidRPr="00065B4E">
        <w:rPr>
          <w:sz w:val="24"/>
        </w:rPr>
        <w:t xml:space="preserve">Presidente da Câmara dos Deputados. </w:t>
      </w:r>
    </w:p>
    <w:p w:rsidR="00065B4E" w:rsidRDefault="00065B4E" w:rsidP="00065B4E">
      <w:pPr>
        <w:pStyle w:val="Cabealho"/>
        <w:ind w:firstLine="1134"/>
        <w:jc w:val="both"/>
        <w:rPr>
          <w:sz w:val="24"/>
        </w:rPr>
      </w:pPr>
    </w:p>
    <w:p w:rsidR="00065B4E" w:rsidRDefault="00065B4E" w:rsidP="00065B4E">
      <w:pPr>
        <w:pStyle w:val="Cabealho"/>
        <w:ind w:firstLine="1134"/>
        <w:jc w:val="both"/>
        <w:rPr>
          <w:sz w:val="24"/>
        </w:rPr>
      </w:pPr>
    </w:p>
    <w:p w:rsidR="00065B4E" w:rsidRDefault="00065B4E" w:rsidP="00065B4E">
      <w:pPr>
        <w:jc w:val="center"/>
        <w:rPr>
          <w:sz w:val="24"/>
        </w:rPr>
      </w:pPr>
      <w:r>
        <w:rPr>
          <w:sz w:val="24"/>
        </w:rPr>
        <w:t>ATO DA MESA Nº    /88</w:t>
      </w:r>
    </w:p>
    <w:p w:rsidR="00065B4E" w:rsidRDefault="00065B4E" w:rsidP="00065B4E">
      <w:pPr>
        <w:jc w:val="center"/>
        <w:rPr>
          <w:sz w:val="24"/>
        </w:rPr>
      </w:pPr>
    </w:p>
    <w:p w:rsidR="00065B4E" w:rsidRDefault="00065B4E" w:rsidP="00065B4E">
      <w:pPr>
        <w:pStyle w:val="Corpodetexto"/>
        <w:jc w:val="center"/>
      </w:pPr>
      <w:r>
        <w:rPr>
          <w:b/>
        </w:rPr>
        <w:t>T A B E L A</w:t>
      </w:r>
    </w:p>
    <w:p w:rsidR="00065B4E" w:rsidRDefault="00065B4E" w:rsidP="00065B4E"/>
    <w:p w:rsidR="00065B4E" w:rsidRDefault="00065B4E" w:rsidP="00065B4E"/>
    <w:tbl>
      <w:tblPr>
        <w:tblW w:w="0" w:type="auto"/>
        <w:tblInd w:w="2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5"/>
        <w:gridCol w:w="1983"/>
      </w:tblGrid>
      <w:tr w:rsidR="00065B4E" w:rsidTr="00065B4E">
        <w:tblPrEx>
          <w:tblCellMar>
            <w:top w:w="0" w:type="dxa"/>
            <w:bottom w:w="0" w:type="dxa"/>
          </w:tblCellMar>
        </w:tblPrEx>
        <w:tc>
          <w:tcPr>
            <w:tcW w:w="1845" w:type="dxa"/>
            <w:vAlign w:val="center"/>
          </w:tcPr>
          <w:p w:rsidR="00065B4E" w:rsidRDefault="00065B4E" w:rsidP="00065B4E">
            <w:pPr>
              <w:jc w:val="center"/>
              <w:rPr>
                <w:sz w:val="24"/>
              </w:rPr>
            </w:pPr>
            <w:r>
              <w:rPr>
                <w:sz w:val="24"/>
              </w:rPr>
              <w:t>N Í V E L</w:t>
            </w:r>
          </w:p>
        </w:tc>
        <w:tc>
          <w:tcPr>
            <w:tcW w:w="1983" w:type="dxa"/>
            <w:vAlign w:val="center"/>
          </w:tcPr>
          <w:p w:rsidR="00065B4E" w:rsidRDefault="00065B4E" w:rsidP="00065B4E">
            <w:pPr>
              <w:jc w:val="center"/>
              <w:rPr>
                <w:sz w:val="24"/>
              </w:rPr>
            </w:pPr>
            <w:r>
              <w:rPr>
                <w:sz w:val="24"/>
              </w:rPr>
              <w:t>V A L O R</w:t>
            </w:r>
          </w:p>
        </w:tc>
      </w:tr>
      <w:tr w:rsidR="00065B4E" w:rsidTr="00065B4E">
        <w:tblPrEx>
          <w:tblCellMar>
            <w:top w:w="0" w:type="dxa"/>
            <w:bottom w:w="0" w:type="dxa"/>
          </w:tblCellMar>
        </w:tblPrEx>
        <w:tc>
          <w:tcPr>
            <w:tcW w:w="1845" w:type="dxa"/>
            <w:vAlign w:val="center"/>
          </w:tcPr>
          <w:p w:rsidR="00065B4E" w:rsidRDefault="00065B4E" w:rsidP="00065B4E">
            <w:pPr>
              <w:jc w:val="center"/>
              <w:rPr>
                <w:sz w:val="24"/>
              </w:rPr>
            </w:pPr>
            <w:r>
              <w:rPr>
                <w:sz w:val="24"/>
              </w:rPr>
              <w:t>SP-01</w:t>
            </w:r>
          </w:p>
        </w:tc>
        <w:tc>
          <w:tcPr>
            <w:tcW w:w="1983" w:type="dxa"/>
            <w:vAlign w:val="center"/>
          </w:tcPr>
          <w:p w:rsidR="00065B4E" w:rsidRDefault="00065B4E" w:rsidP="00065B4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napToGrid/>
                <w:sz w:val="24"/>
              </w:rPr>
            </w:pPr>
            <w:r>
              <w:rPr>
                <w:rFonts w:ascii="Times New Roman" w:hAnsi="Times New Roman"/>
                <w:snapToGrid/>
                <w:sz w:val="24"/>
              </w:rPr>
              <w:t>30.000,00</w:t>
            </w:r>
          </w:p>
        </w:tc>
      </w:tr>
      <w:tr w:rsidR="00065B4E" w:rsidTr="00065B4E">
        <w:tblPrEx>
          <w:tblCellMar>
            <w:top w:w="0" w:type="dxa"/>
            <w:bottom w:w="0" w:type="dxa"/>
          </w:tblCellMar>
        </w:tblPrEx>
        <w:tc>
          <w:tcPr>
            <w:tcW w:w="1845" w:type="dxa"/>
            <w:vAlign w:val="center"/>
          </w:tcPr>
          <w:p w:rsidR="00065B4E" w:rsidRDefault="00065B4E" w:rsidP="00065B4E">
            <w:pPr>
              <w:jc w:val="center"/>
              <w:rPr>
                <w:sz w:val="24"/>
              </w:rPr>
            </w:pPr>
            <w:r>
              <w:rPr>
                <w:sz w:val="24"/>
              </w:rPr>
              <w:t>SP-02</w:t>
            </w:r>
          </w:p>
        </w:tc>
        <w:tc>
          <w:tcPr>
            <w:tcW w:w="1983" w:type="dxa"/>
            <w:vAlign w:val="center"/>
          </w:tcPr>
          <w:p w:rsidR="00065B4E" w:rsidRDefault="00065B4E" w:rsidP="00065B4E">
            <w:pPr>
              <w:jc w:val="center"/>
              <w:rPr>
                <w:sz w:val="24"/>
              </w:rPr>
            </w:pPr>
            <w:r>
              <w:rPr>
                <w:sz w:val="24"/>
              </w:rPr>
              <w:t>50.000,00</w:t>
            </w:r>
          </w:p>
        </w:tc>
      </w:tr>
      <w:tr w:rsidR="00065B4E" w:rsidTr="00065B4E">
        <w:tblPrEx>
          <w:tblCellMar>
            <w:top w:w="0" w:type="dxa"/>
            <w:bottom w:w="0" w:type="dxa"/>
          </w:tblCellMar>
        </w:tblPrEx>
        <w:tc>
          <w:tcPr>
            <w:tcW w:w="1845" w:type="dxa"/>
            <w:vAlign w:val="center"/>
          </w:tcPr>
          <w:p w:rsidR="00065B4E" w:rsidRDefault="00065B4E" w:rsidP="00065B4E">
            <w:pPr>
              <w:jc w:val="center"/>
              <w:rPr>
                <w:sz w:val="24"/>
              </w:rPr>
            </w:pPr>
            <w:r>
              <w:rPr>
                <w:sz w:val="24"/>
              </w:rPr>
              <w:t>SP-03</w:t>
            </w:r>
          </w:p>
        </w:tc>
        <w:tc>
          <w:tcPr>
            <w:tcW w:w="1983" w:type="dxa"/>
            <w:vAlign w:val="center"/>
          </w:tcPr>
          <w:p w:rsidR="00065B4E" w:rsidRDefault="00065B4E" w:rsidP="00065B4E">
            <w:pPr>
              <w:jc w:val="center"/>
              <w:rPr>
                <w:sz w:val="24"/>
              </w:rPr>
            </w:pPr>
            <w:r>
              <w:rPr>
                <w:sz w:val="24"/>
              </w:rPr>
              <w:t>60.000,00</w:t>
            </w:r>
          </w:p>
        </w:tc>
      </w:tr>
      <w:tr w:rsidR="00065B4E" w:rsidTr="00065B4E">
        <w:tblPrEx>
          <w:tblCellMar>
            <w:top w:w="0" w:type="dxa"/>
            <w:bottom w:w="0" w:type="dxa"/>
          </w:tblCellMar>
        </w:tblPrEx>
        <w:tc>
          <w:tcPr>
            <w:tcW w:w="1845" w:type="dxa"/>
            <w:vAlign w:val="center"/>
          </w:tcPr>
          <w:p w:rsidR="00065B4E" w:rsidRDefault="00065B4E" w:rsidP="00065B4E">
            <w:pPr>
              <w:jc w:val="center"/>
              <w:rPr>
                <w:sz w:val="24"/>
              </w:rPr>
            </w:pPr>
            <w:r>
              <w:rPr>
                <w:sz w:val="24"/>
              </w:rPr>
              <w:t>SP-04</w:t>
            </w:r>
          </w:p>
        </w:tc>
        <w:tc>
          <w:tcPr>
            <w:tcW w:w="1983" w:type="dxa"/>
            <w:vAlign w:val="center"/>
          </w:tcPr>
          <w:p w:rsidR="00065B4E" w:rsidRDefault="00065B4E" w:rsidP="00065B4E">
            <w:pPr>
              <w:jc w:val="center"/>
              <w:rPr>
                <w:sz w:val="24"/>
              </w:rPr>
            </w:pPr>
            <w:r>
              <w:rPr>
                <w:sz w:val="24"/>
              </w:rPr>
              <w:t>75.000,00</w:t>
            </w:r>
          </w:p>
        </w:tc>
      </w:tr>
      <w:tr w:rsidR="00065B4E" w:rsidTr="00065B4E">
        <w:tblPrEx>
          <w:tblCellMar>
            <w:top w:w="0" w:type="dxa"/>
            <w:bottom w:w="0" w:type="dxa"/>
          </w:tblCellMar>
        </w:tblPrEx>
        <w:tc>
          <w:tcPr>
            <w:tcW w:w="1845" w:type="dxa"/>
            <w:vAlign w:val="center"/>
          </w:tcPr>
          <w:p w:rsidR="00065B4E" w:rsidRDefault="00065B4E" w:rsidP="00065B4E">
            <w:pPr>
              <w:jc w:val="center"/>
              <w:rPr>
                <w:sz w:val="24"/>
              </w:rPr>
            </w:pPr>
            <w:r>
              <w:rPr>
                <w:sz w:val="24"/>
              </w:rPr>
              <w:t>SP-05</w:t>
            </w:r>
          </w:p>
        </w:tc>
        <w:tc>
          <w:tcPr>
            <w:tcW w:w="1983" w:type="dxa"/>
            <w:vAlign w:val="center"/>
          </w:tcPr>
          <w:p w:rsidR="00065B4E" w:rsidRDefault="00065B4E" w:rsidP="00065B4E">
            <w:pPr>
              <w:jc w:val="center"/>
              <w:rPr>
                <w:sz w:val="24"/>
              </w:rPr>
            </w:pPr>
            <w:r>
              <w:rPr>
                <w:sz w:val="24"/>
              </w:rPr>
              <w:t>90.000,00</w:t>
            </w:r>
          </w:p>
        </w:tc>
      </w:tr>
      <w:tr w:rsidR="00065B4E" w:rsidTr="00065B4E">
        <w:tblPrEx>
          <w:tblCellMar>
            <w:top w:w="0" w:type="dxa"/>
            <w:bottom w:w="0" w:type="dxa"/>
          </w:tblCellMar>
        </w:tblPrEx>
        <w:tc>
          <w:tcPr>
            <w:tcW w:w="1845" w:type="dxa"/>
            <w:vAlign w:val="center"/>
          </w:tcPr>
          <w:p w:rsidR="00065B4E" w:rsidRDefault="00065B4E" w:rsidP="00065B4E">
            <w:pPr>
              <w:jc w:val="center"/>
              <w:rPr>
                <w:sz w:val="24"/>
              </w:rPr>
            </w:pPr>
            <w:r>
              <w:rPr>
                <w:sz w:val="24"/>
              </w:rPr>
              <w:t>SP-06</w:t>
            </w:r>
          </w:p>
        </w:tc>
        <w:tc>
          <w:tcPr>
            <w:tcW w:w="1983" w:type="dxa"/>
            <w:vAlign w:val="center"/>
          </w:tcPr>
          <w:p w:rsidR="00065B4E" w:rsidRDefault="00065B4E" w:rsidP="00065B4E">
            <w:pPr>
              <w:jc w:val="center"/>
              <w:rPr>
                <w:sz w:val="24"/>
              </w:rPr>
            </w:pPr>
            <w:r>
              <w:rPr>
                <w:sz w:val="24"/>
              </w:rPr>
              <w:t>110.000,00</w:t>
            </w:r>
          </w:p>
        </w:tc>
      </w:tr>
      <w:tr w:rsidR="00065B4E" w:rsidTr="00065B4E">
        <w:tblPrEx>
          <w:tblCellMar>
            <w:top w:w="0" w:type="dxa"/>
            <w:bottom w:w="0" w:type="dxa"/>
          </w:tblCellMar>
        </w:tblPrEx>
        <w:tc>
          <w:tcPr>
            <w:tcW w:w="1845" w:type="dxa"/>
            <w:vAlign w:val="center"/>
          </w:tcPr>
          <w:p w:rsidR="00065B4E" w:rsidRDefault="00065B4E" w:rsidP="00065B4E">
            <w:pPr>
              <w:jc w:val="center"/>
              <w:rPr>
                <w:sz w:val="24"/>
              </w:rPr>
            </w:pPr>
            <w:r>
              <w:rPr>
                <w:sz w:val="24"/>
              </w:rPr>
              <w:t>SP-07</w:t>
            </w:r>
          </w:p>
        </w:tc>
        <w:tc>
          <w:tcPr>
            <w:tcW w:w="1983" w:type="dxa"/>
            <w:vAlign w:val="center"/>
          </w:tcPr>
          <w:p w:rsidR="00065B4E" w:rsidRDefault="00065B4E" w:rsidP="00065B4E">
            <w:pPr>
              <w:jc w:val="center"/>
              <w:rPr>
                <w:sz w:val="24"/>
              </w:rPr>
            </w:pPr>
            <w:r>
              <w:rPr>
                <w:sz w:val="24"/>
              </w:rPr>
              <w:t>125.000,00</w:t>
            </w:r>
          </w:p>
        </w:tc>
      </w:tr>
      <w:tr w:rsidR="00065B4E" w:rsidTr="00065B4E">
        <w:tblPrEx>
          <w:tblCellMar>
            <w:top w:w="0" w:type="dxa"/>
            <w:bottom w:w="0" w:type="dxa"/>
          </w:tblCellMar>
        </w:tblPrEx>
        <w:tc>
          <w:tcPr>
            <w:tcW w:w="1845" w:type="dxa"/>
            <w:vAlign w:val="center"/>
          </w:tcPr>
          <w:p w:rsidR="00065B4E" w:rsidRDefault="00065B4E" w:rsidP="00065B4E">
            <w:pPr>
              <w:jc w:val="center"/>
              <w:rPr>
                <w:sz w:val="24"/>
              </w:rPr>
            </w:pPr>
            <w:r>
              <w:rPr>
                <w:sz w:val="24"/>
              </w:rPr>
              <w:t>SP-08</w:t>
            </w:r>
          </w:p>
        </w:tc>
        <w:tc>
          <w:tcPr>
            <w:tcW w:w="1983" w:type="dxa"/>
            <w:vAlign w:val="center"/>
          </w:tcPr>
          <w:p w:rsidR="00065B4E" w:rsidRDefault="00065B4E" w:rsidP="00065B4E">
            <w:pPr>
              <w:jc w:val="center"/>
              <w:rPr>
                <w:sz w:val="24"/>
              </w:rPr>
            </w:pPr>
            <w:r>
              <w:rPr>
                <w:sz w:val="24"/>
              </w:rPr>
              <w:t>140.000,00</w:t>
            </w:r>
          </w:p>
        </w:tc>
      </w:tr>
      <w:tr w:rsidR="00065B4E" w:rsidTr="00065B4E">
        <w:tblPrEx>
          <w:tblCellMar>
            <w:top w:w="0" w:type="dxa"/>
            <w:bottom w:w="0" w:type="dxa"/>
          </w:tblCellMar>
        </w:tblPrEx>
        <w:tc>
          <w:tcPr>
            <w:tcW w:w="1845" w:type="dxa"/>
            <w:vAlign w:val="center"/>
          </w:tcPr>
          <w:p w:rsidR="00065B4E" w:rsidRDefault="00065B4E" w:rsidP="00065B4E">
            <w:pPr>
              <w:jc w:val="center"/>
              <w:rPr>
                <w:sz w:val="24"/>
              </w:rPr>
            </w:pPr>
            <w:r>
              <w:rPr>
                <w:sz w:val="24"/>
              </w:rPr>
              <w:t>SP-09</w:t>
            </w:r>
          </w:p>
        </w:tc>
        <w:tc>
          <w:tcPr>
            <w:tcW w:w="1983" w:type="dxa"/>
            <w:vAlign w:val="center"/>
          </w:tcPr>
          <w:p w:rsidR="00065B4E" w:rsidRDefault="00065B4E" w:rsidP="00065B4E">
            <w:pPr>
              <w:jc w:val="center"/>
              <w:rPr>
                <w:sz w:val="24"/>
              </w:rPr>
            </w:pPr>
            <w:r>
              <w:rPr>
                <w:sz w:val="24"/>
              </w:rPr>
              <w:t>155.000,00</w:t>
            </w:r>
          </w:p>
        </w:tc>
      </w:tr>
      <w:tr w:rsidR="00065B4E" w:rsidTr="00065B4E">
        <w:tblPrEx>
          <w:tblCellMar>
            <w:top w:w="0" w:type="dxa"/>
            <w:bottom w:w="0" w:type="dxa"/>
          </w:tblCellMar>
        </w:tblPrEx>
        <w:tc>
          <w:tcPr>
            <w:tcW w:w="1845" w:type="dxa"/>
            <w:vAlign w:val="center"/>
          </w:tcPr>
          <w:p w:rsidR="00065B4E" w:rsidRDefault="00065B4E" w:rsidP="00065B4E">
            <w:pPr>
              <w:jc w:val="center"/>
              <w:rPr>
                <w:sz w:val="24"/>
              </w:rPr>
            </w:pPr>
            <w:r>
              <w:rPr>
                <w:sz w:val="24"/>
              </w:rPr>
              <w:t>SP-10</w:t>
            </w:r>
          </w:p>
        </w:tc>
        <w:tc>
          <w:tcPr>
            <w:tcW w:w="1983" w:type="dxa"/>
            <w:vAlign w:val="center"/>
          </w:tcPr>
          <w:p w:rsidR="00065B4E" w:rsidRDefault="00065B4E" w:rsidP="00065B4E">
            <w:pPr>
              <w:jc w:val="center"/>
              <w:rPr>
                <w:sz w:val="24"/>
              </w:rPr>
            </w:pPr>
            <w:r>
              <w:rPr>
                <w:sz w:val="24"/>
              </w:rPr>
              <w:t>170.000,00</w:t>
            </w:r>
          </w:p>
        </w:tc>
      </w:tr>
    </w:tbl>
    <w:p w:rsidR="00065B4E" w:rsidRDefault="00065B4E" w:rsidP="00065B4E"/>
    <w:p w:rsidR="00065B4E" w:rsidRDefault="00065B4E" w:rsidP="00065B4E">
      <w:pPr>
        <w:pStyle w:val="Cabealho"/>
        <w:ind w:firstLine="1134"/>
        <w:jc w:val="both"/>
        <w:rPr>
          <w:sz w:val="24"/>
        </w:rPr>
      </w:pPr>
    </w:p>
    <w:sectPr w:rsidR="00065B4E">
      <w:footnotePr>
        <w:pos w:val="beneathText"/>
      </w:footnotePr>
      <w:pgSz w:w="12240" w:h="15840"/>
      <w:pgMar w:top="1418" w:right="1700"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453AB6"/>
    <w:multiLevelType w:val="singleLevel"/>
    <w:tmpl w:val="0416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3572"/>
    <w:rsid w:val="00054A21"/>
    <w:rsid w:val="00055283"/>
    <w:rsid w:val="00065B4E"/>
    <w:rsid w:val="0008681E"/>
    <w:rsid w:val="000C7335"/>
    <w:rsid w:val="002963ED"/>
    <w:rsid w:val="002B6DA8"/>
    <w:rsid w:val="003019AE"/>
    <w:rsid w:val="00341B6A"/>
    <w:rsid w:val="00446FCB"/>
    <w:rsid w:val="00464D6A"/>
    <w:rsid w:val="00466E62"/>
    <w:rsid w:val="004B119D"/>
    <w:rsid w:val="00573572"/>
    <w:rsid w:val="00595C4B"/>
    <w:rsid w:val="005B155E"/>
    <w:rsid w:val="00600D86"/>
    <w:rsid w:val="00661F21"/>
    <w:rsid w:val="00671378"/>
    <w:rsid w:val="0069573C"/>
    <w:rsid w:val="0069620E"/>
    <w:rsid w:val="007E2A45"/>
    <w:rsid w:val="008630D8"/>
    <w:rsid w:val="008639CA"/>
    <w:rsid w:val="008851AB"/>
    <w:rsid w:val="008A19BA"/>
    <w:rsid w:val="008F337C"/>
    <w:rsid w:val="00900EE7"/>
    <w:rsid w:val="00941BB2"/>
    <w:rsid w:val="00942F51"/>
    <w:rsid w:val="00990557"/>
    <w:rsid w:val="009B0B25"/>
    <w:rsid w:val="00AB3949"/>
    <w:rsid w:val="00AD4A6B"/>
    <w:rsid w:val="00AF5818"/>
    <w:rsid w:val="00B05737"/>
    <w:rsid w:val="00B321B9"/>
    <w:rsid w:val="00BA6CDC"/>
    <w:rsid w:val="00BB7F30"/>
    <w:rsid w:val="00BF243C"/>
    <w:rsid w:val="00C04482"/>
    <w:rsid w:val="00C403C4"/>
    <w:rsid w:val="00C643CC"/>
    <w:rsid w:val="00CB3CCC"/>
    <w:rsid w:val="00CC4B4C"/>
    <w:rsid w:val="00D70134"/>
    <w:rsid w:val="00D77B53"/>
    <w:rsid w:val="00DE6E41"/>
    <w:rsid w:val="00E23BC7"/>
    <w:rsid w:val="00E355F3"/>
    <w:rsid w:val="00EC6483"/>
    <w:rsid w:val="00F45D46"/>
    <w:rsid w:val="00F57797"/>
    <w:rsid w:val="00FE24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0F64414-9B1F-4A7A-9A36-378A06B2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rPr>
  </w:style>
  <w:style w:type="paragraph" w:styleId="Ttulo1">
    <w:name w:val="heading 1"/>
    <w:basedOn w:val="Normal"/>
    <w:next w:val="Normal"/>
    <w:qFormat/>
    <w:pPr>
      <w:keepNext/>
      <w:numPr>
        <w:numId w:val="1"/>
      </w:numPr>
      <w:ind w:left="0" w:firstLine="1134"/>
      <w:jc w:val="both"/>
      <w:outlineLvl w:val="0"/>
    </w:pPr>
    <w:rPr>
      <w:sz w:val="24"/>
    </w:rPr>
  </w:style>
  <w:style w:type="paragraph" w:styleId="Ttulo2">
    <w:name w:val="heading 2"/>
    <w:basedOn w:val="Normal"/>
    <w:next w:val="Normal"/>
    <w:qFormat/>
    <w:pPr>
      <w:keepNext/>
      <w:numPr>
        <w:ilvl w:val="1"/>
        <w:numId w:val="1"/>
      </w:numPr>
      <w:jc w:val="center"/>
      <w:outlineLvl w:val="1"/>
    </w:pPr>
    <w:rPr>
      <w:sz w:val="24"/>
      <w:lang w:eastAsia="pt-BR"/>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styleId="Fontepargpadro0">
    <w:name w:val="Default Paragraph Font"/>
  </w:style>
  <w:style w:type="character" w:styleId="Hyperlink">
    <w:name w:val="Hyperlink"/>
    <w:semiHidden/>
    <w:rPr>
      <w:color w:val="0000FF"/>
      <w:u w:val="single"/>
    </w:rPr>
  </w:style>
  <w:style w:type="character" w:styleId="Forte">
    <w:name w:val="Strong"/>
    <w:qFormat/>
    <w:rPr>
      <w:b/>
    </w:rPr>
  </w:style>
  <w:style w:type="character" w:styleId="HiperlinkVisitado">
    <w:name w:val="FollowedHyperlink"/>
    <w:semiHidden/>
    <w:rPr>
      <w:color w:val="800080"/>
      <w:u w:val="single"/>
    </w:rPr>
  </w:style>
  <w:style w:type="character" w:styleId="nfase">
    <w:name w:val="Emphasis"/>
    <w:qFormat/>
    <w:rPr>
      <w:i/>
    </w:rPr>
  </w:style>
  <w:style w:type="paragraph" w:styleId="Ttulo">
    <w:name w:val="Title"/>
    <w:basedOn w:val="Normal"/>
    <w:next w:val="Corpodetexto"/>
    <w:pPr>
      <w:keepNext/>
      <w:spacing w:before="240" w:after="120"/>
    </w:pPr>
    <w:rPr>
      <w:rFonts w:ascii="Arial" w:eastAsia="Arial Unicode MS" w:hAnsi="Arial" w:cs="Arial Unicode MS"/>
      <w:sz w:val="28"/>
      <w:szCs w:val="28"/>
    </w:rPr>
  </w:style>
  <w:style w:type="paragraph" w:styleId="Corpodetexto">
    <w:name w:val="Body Text"/>
    <w:basedOn w:val="Normal"/>
    <w:semiHidden/>
    <w:rPr>
      <w:sz w:val="24"/>
    </w:rPr>
  </w:style>
  <w:style w:type="paragraph" w:styleId="Lista">
    <w:name w:val="List"/>
    <w:basedOn w:val="Corpodetexto"/>
    <w:semiHidden/>
    <w:rPr>
      <w:rFonts w:cs="Arial Unicode MS"/>
    </w:rPr>
  </w:style>
  <w:style w:type="paragraph" w:styleId="Legenda">
    <w:name w:val="caption"/>
    <w:basedOn w:val="Normal"/>
    <w:qFormat/>
    <w:pPr>
      <w:suppressLineNumbers/>
      <w:spacing w:before="120" w:after="120"/>
    </w:pPr>
    <w:rPr>
      <w:rFonts w:cs="Arial Unicode MS"/>
      <w:i/>
      <w:iCs/>
      <w:sz w:val="24"/>
      <w:szCs w:val="24"/>
    </w:rPr>
  </w:style>
  <w:style w:type="paragraph" w:customStyle="1" w:styleId="ndice">
    <w:name w:val="Índice"/>
    <w:basedOn w:val="Normal"/>
    <w:pPr>
      <w:suppressLineNumbers/>
    </w:pPr>
    <w:rPr>
      <w:rFonts w:cs="Arial Unicode MS"/>
    </w:rPr>
  </w:style>
  <w:style w:type="paragraph" w:styleId="Cabealho">
    <w:name w:val="header"/>
    <w:basedOn w:val="Normal"/>
    <w:semiHidden/>
    <w:pPr>
      <w:tabs>
        <w:tab w:val="center" w:pos="4419"/>
        <w:tab w:val="right" w:pos="8838"/>
      </w:tabs>
    </w:pPr>
  </w:style>
  <w:style w:type="paragraph" w:styleId="Ttulo0">
    <w:name w:val="Title"/>
    <w:basedOn w:val="Normal"/>
    <w:next w:val="Subttulo"/>
    <w:qFormat/>
    <w:pPr>
      <w:jc w:val="center"/>
    </w:pPr>
    <w:rPr>
      <w:b/>
      <w:sz w:val="28"/>
    </w:rPr>
  </w:style>
  <w:style w:type="paragraph" w:styleId="Subttulo">
    <w:name w:val="Subtitle"/>
    <w:basedOn w:val="Ttulo"/>
    <w:next w:val="Corpodetexto"/>
    <w:qFormat/>
    <w:pPr>
      <w:jc w:val="center"/>
    </w:pPr>
    <w:rPr>
      <w:i/>
      <w:iCs/>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pPr>
      <w:ind w:firstLine="1134"/>
      <w:jc w:val="both"/>
    </w:pPr>
    <w:rPr>
      <w:sz w:val="24"/>
    </w:rPr>
  </w:style>
  <w:style w:type="paragraph" w:customStyle="1" w:styleId="H1">
    <w:name w:val="H1"/>
    <w:basedOn w:val="Normal"/>
    <w:next w:val="Normal"/>
    <w:pPr>
      <w:keepNext/>
      <w:spacing w:before="100" w:after="100"/>
    </w:pPr>
    <w:rPr>
      <w:b/>
      <w:kern w:val="1"/>
      <w:sz w:val="48"/>
      <w:lang w:eastAsia="pt-BR"/>
    </w:rPr>
  </w:style>
  <w:style w:type="paragraph" w:styleId="Corpodetexto2">
    <w:name w:val="Body Text 2"/>
    <w:basedOn w:val="Normal"/>
    <w:pPr>
      <w:jc w:val="both"/>
    </w:pPr>
    <w:rPr>
      <w:sz w:val="24"/>
    </w:rPr>
  </w:style>
  <w:style w:type="paragraph" w:styleId="Recuodecorpodetexto3">
    <w:name w:val="Body Text Indent 3"/>
    <w:basedOn w:val="Normal"/>
    <w:pPr>
      <w:ind w:firstLine="1134"/>
    </w:pPr>
    <w:rPr>
      <w:sz w:val="24"/>
    </w:rPr>
  </w:style>
  <w:style w:type="paragraph" w:customStyle="1" w:styleId="Default">
    <w:name w:val="Default"/>
    <w:pPr>
      <w:widowControl w:val="0"/>
      <w:suppressAutoHyphens/>
    </w:pPr>
    <w:rPr>
      <w:rFonts w:eastAsia="Arial"/>
      <w:color w:val="000000"/>
      <w:sz w:val="24"/>
      <w:lang/>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Preformatted">
    <w:name w:val="Preformatted"/>
    <w:basedOn w:val="Normal"/>
    <w:rsid w:val="00065B4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hAnsi="Courier New"/>
      <w:snapToGrid w:val="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int/atomes/1988/atodamesa-87-29-julho-1988-320528-norma-cd-mesa.html" TargetMode="External"/><Relationship Id="rId3" Type="http://schemas.openxmlformats.org/officeDocument/2006/relationships/settings" Target="settings.xml"/><Relationship Id="rId7" Type="http://schemas.openxmlformats.org/officeDocument/2006/relationships/hyperlink" Target="http://www2.camara.leg.br/legin/int/atomes/1989/atodamesa-157-13-setembro-1989-320577-norma-cd-mes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5085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6014</CharactersWithSpaces>
  <SharedDoc>false</SharedDoc>
  <HLinks>
    <vt:vector size="12" baseType="variant">
      <vt:variant>
        <vt:i4>4784157</vt:i4>
      </vt:variant>
      <vt:variant>
        <vt:i4>3</vt:i4>
      </vt:variant>
      <vt:variant>
        <vt:i4>0</vt:i4>
      </vt:variant>
      <vt:variant>
        <vt:i4>5</vt:i4>
      </vt:variant>
      <vt:variant>
        <vt:lpwstr>http://www2.camara.leg.br/legin/int/atomes/1988/atodamesa-87-29-julho-1988-320528-norma-cd-mesa.html</vt:lpwstr>
      </vt:variant>
      <vt:variant>
        <vt:lpwstr/>
      </vt:variant>
      <vt:variant>
        <vt:i4>4915265</vt:i4>
      </vt:variant>
      <vt:variant>
        <vt:i4>0</vt:i4>
      </vt:variant>
      <vt:variant>
        <vt:i4>0</vt:i4>
      </vt:variant>
      <vt:variant>
        <vt:i4>5</vt:i4>
      </vt:variant>
      <vt:variant>
        <vt:lpwstr>http://www2.camara.leg.br/legin/int/atomes/1989/atodamesa-157-13-setembro-1989-320577-norma-cd-mesa.html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P_5915</dc:creator>
  <cp:keywords/>
  <cp:lastModifiedBy>Autor</cp:lastModifiedBy>
  <cp:revision>2</cp:revision>
  <cp:lastPrinted>2010-02-11T14:57:00Z</cp:lastPrinted>
  <dcterms:created xsi:type="dcterms:W3CDTF">2025-11-20T17:39:00Z</dcterms:created>
  <dcterms:modified xsi:type="dcterms:W3CDTF">2025-11-20T17:39:00Z</dcterms:modified>
</cp:coreProperties>
</file>