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004E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72331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CB71E5" w:rsidRPr="00620BBD" w:rsidRDefault="00CB71E5" w:rsidP="00CB71E5">
      <w:pPr>
        <w:pStyle w:val="Cabealho"/>
        <w:ind w:firstLine="1134"/>
        <w:jc w:val="both"/>
        <w:rPr>
          <w:b/>
          <w:sz w:val="28"/>
          <w:szCs w:val="28"/>
        </w:rPr>
      </w:pPr>
      <w:r w:rsidRPr="00620BBD">
        <w:rPr>
          <w:b/>
          <w:sz w:val="28"/>
          <w:szCs w:val="28"/>
        </w:rPr>
        <w:t xml:space="preserve">DECRETO Nº 13.033, DE 19 DE JUNHO DE </w:t>
      </w:r>
      <w:proofErr w:type="gramStart"/>
      <w:r w:rsidRPr="00620BBD">
        <w:rPr>
          <w:b/>
          <w:sz w:val="28"/>
          <w:szCs w:val="28"/>
        </w:rPr>
        <w:t>2026</w:t>
      </w:r>
      <w:proofErr w:type="gramEnd"/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620BBD">
      <w:pPr>
        <w:pStyle w:val="Cabealho"/>
        <w:ind w:left="4536"/>
        <w:jc w:val="both"/>
        <w:rPr>
          <w:sz w:val="24"/>
          <w:szCs w:val="24"/>
        </w:rPr>
      </w:pPr>
      <w:r w:rsidRPr="00CB71E5">
        <w:rPr>
          <w:sz w:val="24"/>
          <w:szCs w:val="24"/>
        </w:rPr>
        <w:t>Regulamenta o art. 21-A da Lei nº 14.790, de 29 de dezembro de 2023, para dispor sobre os procedimentos operacionais de bloqueio de contas de operadores irregulares de loteria de apostas de quota fixa e a remessa de informações para apuração e declaração de perdimento de bens em favor da União.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620BBD">
        <w:rPr>
          <w:b/>
          <w:sz w:val="24"/>
          <w:szCs w:val="24"/>
        </w:rPr>
        <w:t>O PRESIDENTE DA REPÚBLICA</w:t>
      </w:r>
      <w:r w:rsidRPr="00CB71E5">
        <w:rPr>
          <w:sz w:val="24"/>
          <w:szCs w:val="24"/>
        </w:rPr>
        <w:t xml:space="preserve">, no uso da atribuição que lhe confere o art. 84, </w:t>
      </w:r>
      <w:r w:rsidR="00B619B2" w:rsidRPr="00B619B2">
        <w:rPr>
          <w:i/>
          <w:sz w:val="24"/>
          <w:szCs w:val="24"/>
        </w:rPr>
        <w:t>caput</w:t>
      </w:r>
      <w:r w:rsidRPr="00CB71E5">
        <w:rPr>
          <w:sz w:val="24"/>
          <w:szCs w:val="24"/>
        </w:rPr>
        <w:t>, inciso IV, da Constituição, e tendo em vista o disposto no art. 21-A da Lei nº 14.790, de 29 de dezembro de 2023,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620BBD">
        <w:rPr>
          <w:b/>
          <w:sz w:val="24"/>
          <w:szCs w:val="24"/>
        </w:rPr>
        <w:t>DECRETA</w:t>
      </w:r>
      <w:r w:rsidRPr="00CB71E5">
        <w:rPr>
          <w:sz w:val="24"/>
          <w:szCs w:val="24"/>
        </w:rPr>
        <w:t xml:space="preserve">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620BBD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CAPÍTULO I</w:t>
      </w:r>
    </w:p>
    <w:p w:rsidR="00CB71E5" w:rsidRPr="00CB71E5" w:rsidRDefault="00CB71E5" w:rsidP="00620BBD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DISPOSIÇÕES GERAIS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1º Este Decreto regulamenta o art. 21-A da Lei nº 14.790, de 29 de dezembro de 2023, para dispor sobre: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o fluxo de notificação da Secretaria de Prêmios e Apostas do Ministério da Fazenda às instituições financeiras, às instituições de pagamento e aos instituidores de arranjos de pagamento para fins de bloqueio de contas de operadores irregulares de loteria de apostas de quota fixa;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os procedimentos de bloqueio de contas e de impedimento de realização de novas transações que tenham por finalidade viabilizar, direta ou indiretamente, a exploração irregular da loteria de apostas de quota fixa;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as garantias do devido processo administrativo, do contraditório e da ampla defesa ao interessado;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IV - a remessa de informações e a instauração do processo administrativo de apuração de perdimento de bens em favor da União;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V - a destinação dos valores declarados </w:t>
      </w:r>
      <w:proofErr w:type="gramStart"/>
      <w:r w:rsidRPr="00CB71E5">
        <w:rPr>
          <w:sz w:val="24"/>
          <w:szCs w:val="24"/>
        </w:rPr>
        <w:t>perdidos ao Fundo Nacional de Segurança Pública</w:t>
      </w:r>
      <w:proofErr w:type="gramEnd"/>
      <w:r w:rsidRPr="00CB71E5">
        <w:rPr>
          <w:sz w:val="24"/>
          <w:szCs w:val="24"/>
        </w:rPr>
        <w:t xml:space="preserve">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>Art. 2º Para fins do disposto neste Decreto</w:t>
      </w:r>
      <w:proofErr w:type="gramStart"/>
      <w:r w:rsidRPr="00CB71E5">
        <w:rPr>
          <w:sz w:val="24"/>
          <w:szCs w:val="24"/>
        </w:rPr>
        <w:t>, considera-se</w:t>
      </w:r>
      <w:proofErr w:type="gramEnd"/>
      <w:r w:rsidRPr="00CB71E5">
        <w:rPr>
          <w:sz w:val="24"/>
          <w:szCs w:val="24"/>
        </w:rPr>
        <w:t xml:space="preserve">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lastRenderedPageBreak/>
        <w:t xml:space="preserve">I - Secretaria de Prêmios e Apostas - autoridade reguladora e supervisora da modalidade lotérica de apostas de quota fixa, nos termos do disposto nos art. 21 e art. 21- A da Lei nº 14.790, de 29 de dezembro de 2023;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agente operador irregular - pessoa natural ou jurídica que explore, direta ou indiretamente, a loteria de apostas de quota fixa sem a autorização prevista na Lei nº 14.790, de 29 de dezembro de 2023;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instituições obrigadas - instituições financeiras, instituições de pagamento e instituidores de arranjos de pagamento;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IV - contas passíveis de bloqueio - contas de depósito, de pagamento, transacionais e demais contas de registro de que sejam titulares os agentes operadores constatados como irregulares pela Secretaria de Prêmios e Apostas;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V - auto de constatação de irregularidade - documento emitido pela Secretaria de Prêmios e Apostas que formaliza a constatação da exploração irregular, fundamenta a notificação de bloqueio e instaura o processo administrativo de que trata este Decreto;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VI - processo administrativo de perdimento - processo administrativo instaurado para apurar a responsabilidade do agente operador irregular e declarar o perdimento dos valores bloqueados em favor da União.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CAPÍTULO II</w:t>
      </w: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DA CONSTATAÇÃO DA IRREGULARIDADE E DA EMISSÃO DO AUTO DE CONSTATAÇÃO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3º A constatação da exploração irregular de loteria de apostas de quota fixa, para fins do disposto neste Decreto, ocorrerá: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de ofício, pela Secretaria de Prêmios e Apostas, mediante atividade de fiscalização e monitoramento do mercado;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mediante a análise de representação devidamente fundamentada de qualquer interessado encaminhada à Secretaria de Prêmios e Apostas; </w:t>
      </w:r>
      <w:proofErr w:type="gramStart"/>
      <w:r w:rsidRPr="00CB71E5">
        <w:rPr>
          <w:sz w:val="24"/>
          <w:szCs w:val="24"/>
        </w:rPr>
        <w:t>ou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a partir do recebimento e da análise, pela Secretaria de Prêmios e Apostas, das informações sobre indícios de fraudes eletrônicas de que trata o art. 24-A da Lei nº 14.790, de 29 de dezembro de 2023.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Parágrafo único. A Secretaria de Prêmios e Apostas disciplinará os procedimentos necessários ao cumprimento do disposto neste artigo.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Art. 4º Constatada a irregularidade, a Secretaria de Prêmios e Apostas emitirá o auto de constatação de irregularidade, que conterá, no mínimo: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I - a identificação do agente operador irregular, com nome completo ou razão social, número de inscrição no Cadastro de Pessoas Físicas - CPF ou no Cadastro Nacional da Pessoa Jurídica - CNPJ, e demais dados cadastrais disponíveis;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II - a descrição dos fatos constatados e dos elementos probatórios que fundamentem a irregularidade;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III - os sítios eletrônicos, os aplicativos, os domínios ou quaisquer outros meios pelos quais a exploração irregular seja realizada;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IV - as instituições obrigadas mantenedoras de contas de titularidade dos agentes operadores irregulares passíveis de bloqueio;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lastRenderedPageBreak/>
        <w:t xml:space="preserve">V - a relação das transações de pagamento identificadas em favor do agente operador irregular, com indicação da instituição financeira ou da instituição de pagamento mantenedora das contas passíveis de bloqueio;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VI - o fundamento legal do bloqueio; </w:t>
      </w:r>
      <w:proofErr w:type="gramStart"/>
      <w:r w:rsidRPr="00444E3D">
        <w:rPr>
          <w:sz w:val="24"/>
          <w:szCs w:val="24"/>
        </w:rPr>
        <w:t>e</w:t>
      </w:r>
      <w:proofErr w:type="gramEnd"/>
      <w:r w:rsidRPr="00444E3D">
        <w:rPr>
          <w:sz w:val="24"/>
          <w:szCs w:val="24"/>
        </w:rPr>
        <w:t xml:space="preserve"> </w:t>
      </w:r>
    </w:p>
    <w:p w:rsidR="00444E3D" w:rsidRPr="00444E3D" w:rsidRDefault="00444E3D" w:rsidP="00444E3D">
      <w:pPr>
        <w:pStyle w:val="Cabealho"/>
        <w:ind w:firstLine="1134"/>
        <w:jc w:val="both"/>
        <w:rPr>
          <w:sz w:val="24"/>
          <w:szCs w:val="24"/>
        </w:rPr>
      </w:pPr>
      <w:r w:rsidRPr="00444E3D">
        <w:rPr>
          <w:sz w:val="24"/>
          <w:szCs w:val="24"/>
        </w:rPr>
        <w:t xml:space="preserve">VII - o prazo para exercício do contraditório e da ampla defesa, nos termos do disposto no art. 12. </w:t>
      </w:r>
    </w:p>
    <w:p w:rsidR="00444E3D" w:rsidRPr="00444E3D" w:rsidRDefault="00444E3D" w:rsidP="00CB71E5">
      <w:pPr>
        <w:pStyle w:val="Cabealho"/>
        <w:ind w:firstLine="1134"/>
        <w:jc w:val="both"/>
        <w:rPr>
          <w:i/>
          <w:sz w:val="24"/>
          <w:szCs w:val="24"/>
        </w:rPr>
      </w:pPr>
      <w:r w:rsidRPr="00444E3D">
        <w:rPr>
          <w:sz w:val="24"/>
          <w:szCs w:val="24"/>
        </w:rPr>
        <w:t>Parágrafo único. A instrução do auto de constatação de irregularidade poderá ser subsidiada por informações, excetuadas as protegidas por sigilo, obtidas junto ao Banco Central do Brasil, à Secretaria Especial da Receita Federal do Brasil do Ministério da Fazenda, às autoridades policiais e ao Ministério Público, no âmbito de suas respectivas atribuições legai</w:t>
      </w:r>
      <w:r w:rsidR="004C16EF">
        <w:rPr>
          <w:sz w:val="24"/>
          <w:szCs w:val="24"/>
        </w:rPr>
        <w:t xml:space="preserve">s. </w:t>
      </w:r>
      <w:hyperlink r:id="rId8" w:history="1">
        <w:r w:rsidRPr="000D5A39">
          <w:rPr>
            <w:rStyle w:val="Hyperlink"/>
            <w:i/>
            <w:sz w:val="24"/>
            <w:szCs w:val="24"/>
          </w:rPr>
          <w:t>(Artigo republicado no DOU, de 23/6/2026)</w:t>
        </w:r>
        <w:proofErr w:type="gramStart"/>
      </w:hyperlink>
      <w:proofErr w:type="gramEnd"/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CAPÍTULO III</w:t>
      </w: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DO FLUXO DE NOTIFICAÇÃO E BLOQUEIO</w:t>
      </w: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Seção I</w:t>
      </w: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Da notificação às instituições obrigadas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5º Emitido o auto de constatação de irregularidade, a Secretaria de Prêmios e Apostas expedirá notificação de bloqueio às instituições obrigadas identificadas, observado o seguinte fluxo: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a notificação de bloqueio será encaminhada por meio de sistema eletrônico seguro, que garanta rastreabilidade, autenticidade e confidencialidade das comunicações;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a notificação de bloqueio conterá cópia do auto de constatação de irregularidade, a relação específica dos titulares das contas passíveis de bloqueio e o prazo para cumprimento da medida;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a Secretaria de Prêmios e Apostas comunicará simultaneamente ao Banco Central do Brasil o envio de cada notificação de bloqueio, para fins de supervisão do cumprimento da medida pelas instituições obrigadas.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6º O sistema eletrônico previsto no art. 5º, </w:t>
      </w:r>
      <w:r w:rsidR="00B619B2" w:rsidRPr="00B619B2">
        <w:rPr>
          <w:i/>
          <w:sz w:val="24"/>
          <w:szCs w:val="24"/>
        </w:rPr>
        <w:t>caput</w:t>
      </w:r>
      <w:r w:rsidRPr="00CB71E5">
        <w:rPr>
          <w:sz w:val="24"/>
          <w:szCs w:val="24"/>
        </w:rPr>
        <w:t xml:space="preserve">, inciso I, será operacionalizado no prazo de noventa dias, contado da data de publicação deste Decreto, e caberá ao Banco Central do Brasil, em articulação com a Secretaria de Prêmios e Apostas, editar as normas técnicas e operacionais necessárias.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1º Enquanto não for </w:t>
      </w:r>
      <w:proofErr w:type="gramStart"/>
      <w:r w:rsidRPr="00CB71E5">
        <w:rPr>
          <w:sz w:val="24"/>
          <w:szCs w:val="24"/>
        </w:rPr>
        <w:t>implementado</w:t>
      </w:r>
      <w:proofErr w:type="gramEnd"/>
      <w:r w:rsidRPr="00CB71E5">
        <w:rPr>
          <w:sz w:val="24"/>
          <w:szCs w:val="24"/>
        </w:rPr>
        <w:t xml:space="preserve"> o sistema eletrônico previsto no </w:t>
      </w:r>
      <w:r w:rsidR="00B619B2" w:rsidRPr="00B619B2">
        <w:rPr>
          <w:i/>
          <w:sz w:val="24"/>
          <w:szCs w:val="24"/>
        </w:rPr>
        <w:t>caput</w:t>
      </w:r>
      <w:r w:rsidRPr="00CB71E5">
        <w:rPr>
          <w:sz w:val="24"/>
          <w:szCs w:val="24"/>
        </w:rPr>
        <w:t xml:space="preserve">, as notificações de bloqueio serão encaminhadas por meio de ofício eletrônico, com certificação digital, pelo Sistema Eletrônico de Informações do Governo Federal, com ciência simultânea ao Banco Central do Brasil.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2º O Banco Central do Brasil informará à Secretaria de Prêmios e Apostas a relação oficial e atualizada dos contatos institucionais das instituições obrigadas para fins da notificação de bloqueio, enquanto não for </w:t>
      </w:r>
      <w:proofErr w:type="gramStart"/>
      <w:r w:rsidRPr="00CB71E5">
        <w:rPr>
          <w:sz w:val="24"/>
          <w:szCs w:val="24"/>
        </w:rPr>
        <w:t>implementado</w:t>
      </w:r>
      <w:proofErr w:type="gramEnd"/>
      <w:r w:rsidRPr="00CB71E5">
        <w:rPr>
          <w:sz w:val="24"/>
          <w:szCs w:val="24"/>
        </w:rPr>
        <w:t xml:space="preserve"> o sistema eletrônico previsto no </w:t>
      </w:r>
      <w:r w:rsidR="00B619B2" w:rsidRPr="00B619B2">
        <w:rPr>
          <w:i/>
          <w:sz w:val="24"/>
          <w:szCs w:val="24"/>
        </w:rPr>
        <w:t>caput</w:t>
      </w:r>
      <w:r w:rsidRPr="00CB71E5">
        <w:rPr>
          <w:sz w:val="24"/>
          <w:szCs w:val="24"/>
        </w:rPr>
        <w:t xml:space="preserve">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Seção II</w:t>
      </w: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Da execução do bloqueio pelas instituições obrigadas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7º Recebida </w:t>
      </w:r>
      <w:proofErr w:type="gramStart"/>
      <w:r w:rsidRPr="00CB71E5">
        <w:rPr>
          <w:sz w:val="24"/>
          <w:szCs w:val="24"/>
        </w:rPr>
        <w:t>a</w:t>
      </w:r>
      <w:proofErr w:type="gramEnd"/>
      <w:r w:rsidRPr="00CB71E5">
        <w:rPr>
          <w:sz w:val="24"/>
          <w:szCs w:val="24"/>
        </w:rPr>
        <w:t xml:space="preserve"> notificação de bloqueio, as instituições obrigadas, nos termos estabelecidos em norma editada pelo Conselho Monetário Nacional - CMN, deverão: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lastRenderedPageBreak/>
        <w:t xml:space="preserve">I - proceder ao bloqueio, no prazo máximo de vinte e quatro horas, contado do recebimento da notificação de bloqueio, das contas de titularidade dos agentes operadores irregulares identificados na notificação e com os quais mantenham relacionamento negocial e impedir a realização de qualquer forma de movimentação de valores mantidos nessas contas;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</w:t>
      </w:r>
      <w:proofErr w:type="gramStart"/>
      <w:r w:rsidRPr="00CB71E5">
        <w:rPr>
          <w:sz w:val="24"/>
          <w:szCs w:val="24"/>
        </w:rPr>
        <w:t>implementar</w:t>
      </w:r>
      <w:proofErr w:type="gramEnd"/>
      <w:r w:rsidRPr="00CB71E5">
        <w:rPr>
          <w:sz w:val="24"/>
          <w:szCs w:val="24"/>
        </w:rPr>
        <w:t xml:space="preserve">, no prazo máximo de vinte e quatro horas, contado do recebimento da notificação de bloqueio, procedimento que impeça a realização de novas transações que tenham por finalidade, direta ou indireta, viabilizar a exploração irregular da loteria de apostas de quota fixa pelos agentes operadores irregulares identificados na notificação;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comunicar, imediatamente após a efetivação do bloqueio, as pessoas titulares das contas alcançadas pela medida, para fins de ciência do bloqueio realizado, com o envio de cópia do auto de constatação de irregularidade, com seus fundamentos, e da notificação de bloqueio, emitidos pela Secretaria de Prêmios e Apostas;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IV - comunicar à Secretaria de Prêmios e Apostas, na forma estabelecida em regulamento por ela editado, no prazo máximo de quarenta e oito horas, contado do bloqueio, por meio do sistema eletrônico de que trata o art. 6º ou do Sistema Eletrônico de Informações do Governo Federal, a confirmação do cumprimento da medida, devendo o regulamento prever, no mínimo, a prestação das seguintes informações e documentos: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 a) a identificação da instituição obrigada comunicante, com razão social, número de inscrição no CNPJ, endereço eletrônico institucional de contato, nome completo, cargo e número de inscrição do CPF da pessoa natural representante da instituição obrigada que </w:t>
      </w:r>
      <w:proofErr w:type="gramStart"/>
      <w:r w:rsidRPr="00CB71E5">
        <w:rPr>
          <w:sz w:val="24"/>
          <w:szCs w:val="24"/>
        </w:rPr>
        <w:t>procedeu</w:t>
      </w:r>
      <w:proofErr w:type="gramEnd"/>
      <w:r w:rsidRPr="00CB71E5">
        <w:rPr>
          <w:sz w:val="24"/>
          <w:szCs w:val="24"/>
        </w:rPr>
        <w:t xml:space="preserve"> à comunicação;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 b) o nome completo ou a razão social, com número de inscrição no CPF ou no CNPJ, e a atividade econômica declarada das pessoas cujas contas foram objeto de bloqueio pela instituição obrigada comunicante;</w:t>
      </w:r>
      <w:proofErr w:type="gramStart"/>
      <w:r w:rsidRPr="00CB71E5">
        <w:rPr>
          <w:sz w:val="24"/>
          <w:szCs w:val="24"/>
        </w:rPr>
        <w:t xml:space="preserve">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B71E5">
        <w:rPr>
          <w:sz w:val="24"/>
          <w:szCs w:val="24"/>
        </w:rPr>
        <w:t xml:space="preserve"> c) os dados de contato dos agentes operadores irregulares, clientes da instituição comunicante, cujas contas foram objeto de bloqueio, incluídos os contatos de seus representantes legais e, se </w:t>
      </w:r>
      <w:proofErr w:type="gramStart"/>
      <w:r w:rsidRPr="00CB71E5">
        <w:rPr>
          <w:sz w:val="24"/>
          <w:szCs w:val="24"/>
        </w:rPr>
        <w:t>houver,</w:t>
      </w:r>
      <w:proofErr w:type="gramEnd"/>
      <w:r w:rsidRPr="00CB71E5">
        <w:rPr>
          <w:sz w:val="24"/>
          <w:szCs w:val="24"/>
        </w:rPr>
        <w:t xml:space="preserve"> de seus procuradores, quando se tratar de pessoas jurídicas, com endereço eletrônico e eventual outro meio de contato;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 d) a cópia da comunicação prevista no inciso III do </w:t>
      </w:r>
      <w:r w:rsidR="00B619B2" w:rsidRPr="00B619B2">
        <w:rPr>
          <w:i/>
          <w:sz w:val="24"/>
          <w:szCs w:val="24"/>
        </w:rPr>
        <w:t>caput</w:t>
      </w:r>
      <w:r w:rsidRPr="00CB71E5">
        <w:rPr>
          <w:sz w:val="24"/>
          <w:szCs w:val="24"/>
        </w:rPr>
        <w:t>;</w:t>
      </w:r>
      <w:proofErr w:type="gramStart"/>
      <w:r w:rsidRPr="00CB71E5">
        <w:rPr>
          <w:sz w:val="24"/>
          <w:szCs w:val="24"/>
        </w:rPr>
        <w:t xml:space="preserve">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B71E5">
        <w:rPr>
          <w:sz w:val="24"/>
          <w:szCs w:val="24"/>
        </w:rPr>
        <w:t xml:space="preserve"> e) as contas de titularidade dos agentes operadores irregulares, clientes da instituição obrigada comunicante, identificadas e bloqueadas em razão do cumprimento da medida;</w:t>
      </w:r>
      <w:proofErr w:type="gramStart"/>
      <w:r w:rsidRPr="00CB71E5">
        <w:rPr>
          <w:sz w:val="24"/>
          <w:szCs w:val="24"/>
        </w:rPr>
        <w:t xml:space="preserve">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B71E5">
        <w:rPr>
          <w:sz w:val="24"/>
          <w:szCs w:val="24"/>
        </w:rPr>
        <w:t xml:space="preserve"> f) o saldo bloqueado em cada conta;</w:t>
      </w:r>
      <w:proofErr w:type="gramStart"/>
      <w:r w:rsidRPr="00CB71E5">
        <w:rPr>
          <w:sz w:val="24"/>
          <w:szCs w:val="24"/>
        </w:rPr>
        <w:t xml:space="preserve">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B71E5">
        <w:rPr>
          <w:sz w:val="24"/>
          <w:szCs w:val="24"/>
        </w:rPr>
        <w:t xml:space="preserve"> g) as contas eventualmente não localizadas ou já encerradas;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 h) quaisquer dificuldades operacionais encontradas. 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1º As instituições obrigadas deverão abster-se de notificar os titulares das contas antes da efetivação do bloqueio, sem prejuízo das comunicações estabelecidas neste Decreto.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2º A notificação de bloqueio encaminhada nos termos do disposto no inciso III do </w:t>
      </w:r>
      <w:r w:rsidR="00B619B2" w:rsidRPr="00B619B2">
        <w:rPr>
          <w:i/>
          <w:sz w:val="24"/>
          <w:szCs w:val="24"/>
        </w:rPr>
        <w:t>caput</w:t>
      </w:r>
      <w:r w:rsidR="009004E2">
        <w:rPr>
          <w:i/>
          <w:sz w:val="24"/>
          <w:szCs w:val="24"/>
        </w:rPr>
        <w:t xml:space="preserve"> </w:t>
      </w:r>
      <w:r w:rsidRPr="00CB71E5">
        <w:rPr>
          <w:sz w:val="24"/>
          <w:szCs w:val="24"/>
        </w:rPr>
        <w:t xml:space="preserve">dará ciência à pessoa titular das contas bloqueadas de que: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CB71E5">
        <w:rPr>
          <w:sz w:val="24"/>
          <w:szCs w:val="24"/>
        </w:rPr>
        <w:t xml:space="preserve">I - o caso será remetido à Secretaria Nacional de Segurança Pública do Ministério da Justiça e Segurança Pública, para instauração do processo administrativo de perdimento;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ela será notificada, no curso desse processo, para o exercício do contraditório e da ampla defesa, na forma prevista no art. 11.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8º O bloqueio das contas não constitui sanção definitiva e produzirá efeitos cautelares até a conclusão do processo administrativo de perdimento de que trata o Capítulo IV.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lastRenderedPageBreak/>
        <w:t xml:space="preserve">Art. 9º Confirmados a constatação e o bloqueio das contas, a Secretaria de Prêmios e Apostas remeterá à Secretaria Nacional de Segurança Pública o auto de constatação de irregularidade e os elementos de prova, que conterão, no mínimo: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a identificação </w:t>
      </w:r>
      <w:proofErr w:type="gramStart"/>
      <w:r w:rsidRPr="00CB71E5">
        <w:rPr>
          <w:sz w:val="24"/>
          <w:szCs w:val="24"/>
        </w:rPr>
        <w:t>do agente operador irregular titular</w:t>
      </w:r>
      <w:proofErr w:type="gramEnd"/>
      <w:r w:rsidRPr="00CB71E5">
        <w:rPr>
          <w:sz w:val="24"/>
          <w:szCs w:val="24"/>
        </w:rPr>
        <w:t xml:space="preserve"> das contas bloqueadas;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a descrição dos fatos e dos elementos que demonstrem a exploração irregular;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a relação das contas bloqueadas e dos respectivos saldos;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IV - o fundamento legal do bloqueio.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CAPÍTULO IV</w:t>
      </w: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DO PROCESSO ADMINISTRATIVO PREPARATÓRIO DE PERDIMENTO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10. Este Capítulo disciplina o processo administrativo preparatório de perdimento dos valores bloqueados, na forma prevista no art. 21-A da Lei nº 14.790, de 29 de dezembro de 2023.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1º O processo administrativo preparatório de perdimento tem por finalidade apurar, com garantia do contraditório e da ampla defesa, a presença dos pressupostos do perdimento e subsidiar a sua postulação judicial pela União.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2º A destinação dos valores observará o disposto no art. 21-A, § 3º, da Lei nº 14.790, de 29 de dezembro de 2023.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11. A condução e o julgamento do processo administrativo preparatório de perdimento competem à Secretaria Nacional de Segurança Pública.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Parágrafo único. O processo administrativo preparatório de perdimento observará o disposto na Lei nº 9.784, de 29 de janeiro de 1999, no Decreto-Lei nº 4.657, de </w:t>
      </w:r>
      <w:proofErr w:type="gramStart"/>
      <w:r w:rsidRPr="00CB71E5">
        <w:rPr>
          <w:sz w:val="24"/>
          <w:szCs w:val="24"/>
        </w:rPr>
        <w:t>4</w:t>
      </w:r>
      <w:proofErr w:type="gramEnd"/>
      <w:r w:rsidRPr="00CB71E5">
        <w:rPr>
          <w:sz w:val="24"/>
          <w:szCs w:val="24"/>
        </w:rPr>
        <w:t xml:space="preserve"> de setembro de 1942, e nos demais atos normativos aplicáveis, garantido ao interessado: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acesso integral ao processo;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prazo de quinze dias, contado do recebimento da notificação de que trata o art. 12, para apresentação de defesa e documentos;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direito de produzir provas, arrolar testemunhas e requerer diligências pertinentes;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IV - decisão fundamentada, proferida por autoridade competente, com indicação expressa dos elementos probatórios considerados;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V - recurso administrativo no prazo de dez dias, contado da ciência da decisão de primeira instância, a ser julgado por autoridade hierarquicamente superior à que proferiu a decisão recorrida;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VI - informação sobre a existência de eventual instância recursal posterior.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Seção I</w:t>
      </w: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Da instauração e do julgamento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12. Recebido o auto de constatação de irregularidade após a remessa de informações prevista no art. 9º, a Secretaria Nacional de Segurança Pública instaurará o processo administrativo e notificará o interessado para, no prazo de quinze dias, apresentar impugnação, indicar provas e arrolar testemunhas.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1º A notificação informará a instauração do processo, os fatos e os fundamentos do auto de constatação de irregularidade, as contas e os saldos bloqueados, os valores objeto do pedido de perdimento e os meios de defesa.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lastRenderedPageBreak/>
        <w:t xml:space="preserve">§ 2º A notificação observará o disposto nos art. 26 e art. 27 da Lei nº 9.784, de 29 de janeiro de 1999, admitida a notificação por edital quando frustradas as demais tentativas.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13. A Secretaria Nacional de Segurança Pública poderá determinar diligências, solicitar documentos e informações às instituições obrigadas e a órgãos e entidades públicas e produzir as provas </w:t>
      </w:r>
      <w:proofErr w:type="gramStart"/>
      <w:r w:rsidRPr="00CB71E5">
        <w:rPr>
          <w:sz w:val="24"/>
          <w:szCs w:val="24"/>
        </w:rPr>
        <w:t>necessárias, garantido</w:t>
      </w:r>
      <w:proofErr w:type="gramEnd"/>
      <w:r w:rsidRPr="00CB71E5">
        <w:rPr>
          <w:sz w:val="24"/>
          <w:szCs w:val="24"/>
        </w:rPr>
        <w:t xml:space="preserve"> o contraditório.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Seção II</w:t>
      </w: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Da decisão administrativa de cabimento do perdimento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14. A decisão do processo administrativo que declara o cabimento do perdimento será fundamentada e conterá: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a identificação do agente operador irregular e dos titulares das contas;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a apreciação das provas e das alegações de defesa;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III - a especificação das contas e dos valores objeto do perdimento.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Parágrafo único. O perdimento dos valores apurados dependerá de decisão judicial, na forma </w:t>
      </w:r>
      <w:proofErr w:type="gramStart"/>
      <w:r w:rsidRPr="00CB71E5">
        <w:rPr>
          <w:sz w:val="24"/>
          <w:szCs w:val="24"/>
        </w:rPr>
        <w:t>prevista na Seção III deste Capítulo, mantido</w:t>
      </w:r>
      <w:proofErr w:type="gramEnd"/>
      <w:r w:rsidRPr="00CB71E5">
        <w:rPr>
          <w:sz w:val="24"/>
          <w:szCs w:val="24"/>
        </w:rPr>
        <w:t xml:space="preserve"> o bloqueio dos valores.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4C16EF" w:rsidRDefault="004C16EF" w:rsidP="00CB71E5">
      <w:pPr>
        <w:pStyle w:val="Cabealho"/>
        <w:ind w:firstLine="1134"/>
        <w:jc w:val="both"/>
        <w:rPr>
          <w:sz w:val="24"/>
          <w:szCs w:val="24"/>
        </w:rPr>
      </w:pPr>
      <w:r w:rsidRPr="004C16EF">
        <w:rPr>
          <w:sz w:val="24"/>
          <w:szCs w:val="24"/>
        </w:rPr>
        <w:t xml:space="preserve">Art. 15. Da decisão do processo administrativo que declara o cabimento do perdimento caberá recurso ao Ministro de Estado da Justiça e Segurança Pública, no prazo de dez </w:t>
      </w:r>
      <w:r w:rsidRPr="000D5A39">
        <w:rPr>
          <w:sz w:val="24"/>
          <w:szCs w:val="24"/>
        </w:rPr>
        <w:t xml:space="preserve">dias, contado da ciência. </w:t>
      </w:r>
      <w:hyperlink r:id="rId9" w:history="1">
        <w:r w:rsidRPr="000D5A39">
          <w:rPr>
            <w:rStyle w:val="Hyperlink"/>
            <w:i/>
            <w:sz w:val="24"/>
            <w:szCs w:val="24"/>
          </w:rPr>
          <w:t>(Artigo republicado no DOU, de 23/6/2026)</w:t>
        </w:r>
        <w:proofErr w:type="gramStart"/>
      </w:hyperlink>
      <w:proofErr w:type="gramEnd"/>
    </w:p>
    <w:p w:rsidR="004C16EF" w:rsidRPr="00CB71E5" w:rsidRDefault="004C16EF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16. A Secretaria Nacional de Segurança Pública comunicará, independentemente de provocação, os indícios identificados no curso do processo administrativo de apuração do perdimento dos valores bloqueados, em especial: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 - ao Ministério Público e às autoridades policiais competentes, os indícios de ilícitos penais; </w:t>
      </w:r>
      <w:proofErr w:type="gramStart"/>
      <w:r w:rsidRPr="00CB71E5">
        <w:rPr>
          <w:sz w:val="24"/>
          <w:szCs w:val="24"/>
        </w:rPr>
        <w:t>e</w:t>
      </w:r>
      <w:proofErr w:type="gram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II - à Secretaria Especial da Receita Federal do Brasil e à Procuradoria-Geral da Fazenda Nacional, os indícios de crédito tributário.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Seção III</w:t>
      </w:r>
    </w:p>
    <w:p w:rsidR="00CB71E5" w:rsidRPr="00CB0FA8" w:rsidRDefault="00CB71E5" w:rsidP="00CB0FA8">
      <w:pPr>
        <w:pStyle w:val="Cabealho"/>
        <w:jc w:val="center"/>
        <w:rPr>
          <w:b/>
          <w:sz w:val="24"/>
          <w:szCs w:val="24"/>
        </w:rPr>
      </w:pPr>
      <w:r w:rsidRPr="00CB0FA8">
        <w:rPr>
          <w:b/>
          <w:sz w:val="24"/>
          <w:szCs w:val="24"/>
        </w:rPr>
        <w:t>Da postulação judicial do perdimento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4C16EF" w:rsidP="00CB71E5">
      <w:pPr>
        <w:pStyle w:val="Cabealho"/>
        <w:ind w:firstLine="1134"/>
        <w:jc w:val="both"/>
        <w:rPr>
          <w:sz w:val="24"/>
          <w:szCs w:val="24"/>
        </w:rPr>
      </w:pPr>
      <w:r w:rsidRPr="004C16EF">
        <w:rPr>
          <w:sz w:val="24"/>
          <w:szCs w:val="24"/>
        </w:rPr>
        <w:t>Art. 17. Exarada a decisão administrativa final que declara o cabimento do perdimento na forma prevista no art. 14, o Ministério da Justiça e Segurança Pública remeterá os autos à Advocacia-Geral da União com os elementos necessários ao ajuizamento da ação judicial.</w:t>
      </w:r>
      <w:r w:rsidRPr="004C16EF">
        <w:rPr>
          <w:i/>
          <w:sz w:val="24"/>
          <w:szCs w:val="24"/>
          <w:highlight w:val="yellow"/>
        </w:rPr>
        <w:t xml:space="preserve"> </w:t>
      </w:r>
      <w:hyperlink r:id="rId10" w:history="1">
        <w:r w:rsidRPr="000D5A39">
          <w:rPr>
            <w:rStyle w:val="Hyperlink"/>
            <w:i/>
            <w:sz w:val="24"/>
            <w:szCs w:val="24"/>
          </w:rPr>
          <w:t>(Artigo republicado no DOU, de 23/6/2026)</w:t>
        </w:r>
        <w:proofErr w:type="gramStart"/>
      </w:hyperlink>
      <w:proofErr w:type="gramEnd"/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18. A Advocacia-Geral da União, em nome da União, ajuizará a ação judicial de perdimento cabível, na </w:t>
      </w:r>
      <w:proofErr w:type="gramStart"/>
      <w:r w:rsidRPr="00CB71E5">
        <w:rPr>
          <w:sz w:val="24"/>
          <w:szCs w:val="24"/>
        </w:rPr>
        <w:t>forma da legislação aplicável, observados</w:t>
      </w:r>
      <w:proofErr w:type="gramEnd"/>
      <w:r w:rsidRPr="00CB71E5">
        <w:rPr>
          <w:sz w:val="24"/>
          <w:szCs w:val="24"/>
        </w:rPr>
        <w:t xml:space="preserve"> os respectivos pressupostos e legitimação, com pedido de decretação do perdimento e de autorização para a transferência dos valores bloqueados ao Fundo Nacional de Segurança Pública.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§ 1º Após o ajuizamento da ação, os valores bloqueados serão convertidos em depósito judicial, à ordem do juízo, nos termos do disposto na Lei nº 14.973, de 16 de setembro de 2024, para que permaneçam à disposição do resultado da ação.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lastRenderedPageBreak/>
        <w:t xml:space="preserve">§ 2º O bloqueio das contas será mantido até a efetivação do depósito judicial, hipótese em que a Advocacia-Geral da União poderá requerer ao juízo as demais medidas necessárias à preservação dos valores.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19. O perdimento dos valores em favor da União, inclusive a título de tributos, multas e demais penalidades, ensejará a destinação desses valores ao Fundo Nacional de Segurança Pública, nos termos do disposto no art. 21-A, § 3º, da Lei nº 14.790, de 29 de dezembro de 2023, e na Lei nº 13.756, de 12 de dezembro de 2018, e não prejudicará o ressarcimento de valores devidos aos apostadores.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20. Proferida decisão judicial que confirme o perdimento, a Advocacia- Geral da União adotará as medidas para transformação em pagamento definitivo do valor depositado.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Parágrafo único. A Advocacia-Geral da União deverá consultar a Secretaria da Receita Federal do Brasil e a Procuradoria-Geral da Fazenda Nacional para quitação dos débitos tributários, inscritos ou não em Dívida Ativa da União.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CAPÍTULO V</w:t>
      </w: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DAS SANÇÕES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21. O descumprimento das obrigações estabelecidas neste Decreto pelas instituições obrigadas sujeitará os seus dirigentes e as próprias instituições às sanções previstas na Lei nº 14.790, de 29 de dezembro de 2023, sem prejuízo das sanções previstas na regulamentação do Banco Central do Brasil e na Lei nº 9.613, de </w:t>
      </w:r>
      <w:proofErr w:type="gramStart"/>
      <w:r w:rsidRPr="00CB71E5">
        <w:rPr>
          <w:sz w:val="24"/>
          <w:szCs w:val="24"/>
        </w:rPr>
        <w:t>3</w:t>
      </w:r>
      <w:proofErr w:type="gramEnd"/>
      <w:r w:rsidRPr="00CB71E5">
        <w:rPr>
          <w:sz w:val="24"/>
          <w:szCs w:val="24"/>
        </w:rPr>
        <w:t xml:space="preserve"> de março de 1998.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22. As medidas de bloqueio previstas neste Decreto são independentes e não substituem as medidas de bloqueio judicial determinadas por autoridade judiciária competente.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proofErr w:type="gramStart"/>
      <w:r w:rsidRPr="00CB71E5">
        <w:rPr>
          <w:sz w:val="24"/>
          <w:szCs w:val="24"/>
        </w:rPr>
        <w:t>CAPÍTULO VI</w:t>
      </w:r>
      <w:proofErr w:type="gramEnd"/>
    </w:p>
    <w:p w:rsidR="00CB71E5" w:rsidRPr="00CB71E5" w:rsidRDefault="00CB71E5" w:rsidP="00CB0FA8">
      <w:pPr>
        <w:pStyle w:val="Cabealho"/>
        <w:jc w:val="center"/>
        <w:rPr>
          <w:sz w:val="24"/>
          <w:szCs w:val="24"/>
        </w:rPr>
      </w:pPr>
      <w:r w:rsidRPr="00CB71E5">
        <w:rPr>
          <w:sz w:val="24"/>
          <w:szCs w:val="24"/>
        </w:rPr>
        <w:t>DISPOSIÇÕES FINAIS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23. Os atos normativos editados pela Secretaria de Prêmios e Apostas e pelo Banco Central do Brasil em decorrência do disposto neste Decreto serão publicados no Diário Oficial da União e disponibilizados nos sítios eletrônicos dos referidos órgãos.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Art. 24. Este Decreto entra em vigor na data de sua publicação.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Brasília, 19 de junho de 2026; 205º da Independência e 138º da República.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LUIZ INÁCIO LULA DA SILVA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Dario </w:t>
      </w:r>
      <w:proofErr w:type="spellStart"/>
      <w:r w:rsidRPr="00CB71E5">
        <w:rPr>
          <w:sz w:val="24"/>
          <w:szCs w:val="24"/>
        </w:rPr>
        <w:t>Carnevalli</w:t>
      </w:r>
      <w:proofErr w:type="spellEnd"/>
      <w:r w:rsidRPr="00CB71E5">
        <w:rPr>
          <w:sz w:val="24"/>
          <w:szCs w:val="24"/>
        </w:rPr>
        <w:t xml:space="preserve"> </w:t>
      </w:r>
      <w:proofErr w:type="spellStart"/>
      <w:r w:rsidRPr="00CB71E5">
        <w:rPr>
          <w:sz w:val="24"/>
          <w:szCs w:val="24"/>
        </w:rPr>
        <w:t>Durigan</w:t>
      </w:r>
      <w:proofErr w:type="spellEnd"/>
      <w:r w:rsidRPr="00CB71E5">
        <w:rPr>
          <w:sz w:val="24"/>
          <w:szCs w:val="24"/>
        </w:rPr>
        <w:t xml:space="preserve">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  <w:r w:rsidRPr="00CB71E5">
        <w:rPr>
          <w:sz w:val="24"/>
          <w:szCs w:val="24"/>
        </w:rPr>
        <w:t xml:space="preserve">Wellington César Lima e Silva </w:t>
      </w:r>
    </w:p>
    <w:p w:rsidR="00CB71E5" w:rsidRPr="00CB71E5" w:rsidRDefault="00CB71E5" w:rsidP="00CB71E5">
      <w:pPr>
        <w:pStyle w:val="Cabealho"/>
        <w:ind w:firstLine="1134"/>
        <w:jc w:val="both"/>
        <w:rPr>
          <w:sz w:val="24"/>
          <w:szCs w:val="24"/>
        </w:rPr>
      </w:pPr>
    </w:p>
    <w:sectPr w:rsidR="00CB71E5" w:rsidRPr="00CB71E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D5A39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44E3D"/>
    <w:rsid w:val="004548EA"/>
    <w:rsid w:val="00465FB3"/>
    <w:rsid w:val="00470F5F"/>
    <w:rsid w:val="00475BE4"/>
    <w:rsid w:val="004856EA"/>
    <w:rsid w:val="004A09BB"/>
    <w:rsid w:val="004B4292"/>
    <w:rsid w:val="004C16EF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0BBD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004E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619B2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0FA8"/>
    <w:rsid w:val="00CB2623"/>
    <w:rsid w:val="00CB71E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33-19-junho-2026-799374-republicacao-180033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3033-19-junho-2026-799374-republicacao-18003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33-19-junho-2026-799374-republicacao-180033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2802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10</cp:revision>
  <cp:lastPrinted>2009-10-20T17:50:00Z</cp:lastPrinted>
  <dcterms:created xsi:type="dcterms:W3CDTF">2026-06-23T11:27:00Z</dcterms:created>
  <dcterms:modified xsi:type="dcterms:W3CDTF">2026-06-23T15:35:00Z</dcterms:modified>
</cp:coreProperties>
</file>