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CD6450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90833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94078" w:rsidRDefault="00394078" w:rsidP="00394078">
      <w:pPr>
        <w:pStyle w:val="Cabealho"/>
        <w:jc w:val="both"/>
        <w:rPr>
          <w:sz w:val="24"/>
          <w:szCs w:val="24"/>
        </w:rPr>
      </w:pPr>
    </w:p>
    <w:p w:rsidR="00394078" w:rsidRPr="00613795" w:rsidRDefault="00394078" w:rsidP="00613795">
      <w:pPr>
        <w:pStyle w:val="Cabealho"/>
        <w:jc w:val="center"/>
        <w:rPr>
          <w:b/>
          <w:sz w:val="28"/>
          <w:szCs w:val="28"/>
        </w:rPr>
      </w:pPr>
      <w:r w:rsidRPr="00613795">
        <w:rPr>
          <w:b/>
          <w:sz w:val="28"/>
          <w:szCs w:val="28"/>
        </w:rPr>
        <w:t>DECRETO Nº 11.718, DE 28 DE SETEMBRO DE 2023</w:t>
      </w:r>
    </w:p>
    <w:p w:rsidR="00394078" w:rsidRPr="00394078" w:rsidRDefault="00394078" w:rsidP="00394078">
      <w:pPr>
        <w:pStyle w:val="Cabealho"/>
        <w:jc w:val="both"/>
        <w:rPr>
          <w:sz w:val="24"/>
          <w:szCs w:val="24"/>
        </w:rPr>
      </w:pPr>
    </w:p>
    <w:p w:rsidR="00394078" w:rsidRPr="00394078" w:rsidRDefault="00394078" w:rsidP="00394078">
      <w:pPr>
        <w:pStyle w:val="Cabealho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left="4536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Altera o Decreto nº 4.993, de 18 de fevereiro de 2004, que cria o Comitê de Financiamento e Garantia das Exportações - COFIG. </w:t>
      </w:r>
    </w:p>
    <w:p w:rsidR="00394078" w:rsidRPr="00394078" w:rsidRDefault="00394078" w:rsidP="00394078">
      <w:pPr>
        <w:pStyle w:val="Cabealho"/>
        <w:jc w:val="both"/>
        <w:rPr>
          <w:sz w:val="24"/>
          <w:szCs w:val="24"/>
        </w:rPr>
      </w:pPr>
    </w:p>
    <w:p w:rsidR="00394078" w:rsidRPr="00394078" w:rsidRDefault="00394078" w:rsidP="00394078">
      <w:pPr>
        <w:pStyle w:val="Cabealho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613795">
        <w:rPr>
          <w:b/>
          <w:sz w:val="24"/>
          <w:szCs w:val="24"/>
        </w:rPr>
        <w:t>O PRESIDENTE DA REPÚBLICA</w:t>
      </w:r>
      <w:r w:rsidRPr="00394078">
        <w:rPr>
          <w:sz w:val="24"/>
          <w:szCs w:val="24"/>
        </w:rPr>
        <w:t xml:space="preserve">, no uso da atribuição que lhe confere o art. 84, </w:t>
      </w:r>
      <w:r w:rsidR="00613795" w:rsidRPr="00613795">
        <w:rPr>
          <w:i/>
          <w:sz w:val="24"/>
          <w:szCs w:val="24"/>
        </w:rPr>
        <w:t>caput</w:t>
      </w:r>
      <w:r w:rsidRPr="00394078">
        <w:rPr>
          <w:sz w:val="24"/>
          <w:szCs w:val="24"/>
        </w:rPr>
        <w:t xml:space="preserve">, inciso VI, alínea "a", da Constituição,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613795">
        <w:rPr>
          <w:b/>
          <w:sz w:val="24"/>
          <w:szCs w:val="24"/>
        </w:rPr>
        <w:t>DECRETA</w:t>
      </w:r>
      <w:r w:rsidRPr="00394078">
        <w:rPr>
          <w:sz w:val="24"/>
          <w:szCs w:val="24"/>
        </w:rPr>
        <w:t xml:space="preserve">: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Art. 1º O Decreto nº 4.993, de 18 de fevereiro de 2004, passa a vigorar com as seguintes alterações: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"Art. 1º ................................................................................................................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I - acompanhar e monitorar as operações do Programa de Financiamento às Exportações - PROEX e do Fundo de Garantia à Exportação - FGE;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II - estabelecer os parâmetros e as condições para a concessão, pela União, de assistência financeira às exportações brasileiras e de garantia às operações no âmbito do seguro de crédito à exportação, observados as diretrizes e os critérios definidos pela Câmara de Comércio Exterior - CAMEX; e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>..................................................................................................................." (NR)</w:t>
      </w:r>
    </w:p>
    <w:p w:rsidR="00613795" w:rsidRDefault="00613795" w:rsidP="00613795">
      <w:pPr>
        <w:pStyle w:val="Cabealho"/>
        <w:ind w:left="1701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"Art. 2º ................................................................................................................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I - Secretário-Executivo do Ministério do Desenvolvimento, Indústria, Comércio e Serviços, que o presidirá; e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II - .....................................................................................................................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a) Casa Civil da Presidência da República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b) Ministério da Agricultura e Pecuária;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c) Ministério da Defesa;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d) Ministério da Fazenda; e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e) Ministério do Planejamento e Orçamento.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>§ 1º O Presidente do COFIG será substituído, em suas ausências e seus impedimentos, pelo Secretário-Executivo da CAMEX.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.........................................................................................................................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§ 10. A Secretaria-Executiva da Câmara de Comércio Exterior do Ministério do Desenvolvimento, Indústria, Comércio e Serviços exercerá as atividades de Secretaria- Executiva do COFIG.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lastRenderedPageBreak/>
        <w:t>...................................................................................................................." (NR)</w:t>
      </w:r>
    </w:p>
    <w:p w:rsidR="00613795" w:rsidRDefault="00613795" w:rsidP="00613795">
      <w:pPr>
        <w:pStyle w:val="Cabealho"/>
        <w:ind w:left="1701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>"Art. 3º O Conselho Estratégico e o Comitê-Executivo de Gestão da CAMEX definirão, conforme as respectivas competências, as diretrizes para concessão de financiamento, de equalização e de prestação de garantia da União nas exportações brasileiras, observadas as atribuições específicas do Conselho Monetário Nacional." (NR)</w:t>
      </w:r>
    </w:p>
    <w:p w:rsidR="00613795" w:rsidRDefault="00613795" w:rsidP="00613795">
      <w:pPr>
        <w:pStyle w:val="Cabealho"/>
        <w:ind w:left="1701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>"Art. 4º ..............................................................................................................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.......................................................................................................................... </w:t>
      </w:r>
    </w:p>
    <w:p w:rsidR="00394078" w:rsidRPr="00CD6450" w:rsidRDefault="00394078" w:rsidP="00613795">
      <w:pPr>
        <w:pStyle w:val="Cabealho"/>
        <w:ind w:left="1701"/>
        <w:jc w:val="both"/>
        <w:rPr>
          <w:sz w:val="24"/>
          <w:szCs w:val="24"/>
        </w:rPr>
      </w:pPr>
      <w:bookmarkStart w:id="0" w:name="_GoBack"/>
      <w:bookmarkEnd w:id="0"/>
      <w:r w:rsidRPr="00CD6450">
        <w:rPr>
          <w:sz w:val="24"/>
          <w:szCs w:val="24"/>
        </w:rPr>
        <w:t xml:space="preserve">IV - </w:t>
      </w:r>
      <w:hyperlink r:id="rId8" w:history="1">
        <w:r w:rsidR="00214F4C" w:rsidRPr="00CD6450">
          <w:rPr>
            <w:rStyle w:val="Hyperlink"/>
            <w:rFonts w:eastAsia="Calibri"/>
            <w:i/>
            <w:sz w:val="24"/>
            <w:szCs w:val="24"/>
            <w:lang w:eastAsia="en-US"/>
          </w:rPr>
          <w:t xml:space="preserve">(Revogado, na parte em que altera o inciso IV do “caput” do art. </w:t>
        </w:r>
        <w:r w:rsidR="00CB3F9C" w:rsidRPr="00CD6450">
          <w:rPr>
            <w:rStyle w:val="Hyperlink"/>
            <w:rFonts w:eastAsia="Calibri"/>
            <w:i/>
            <w:sz w:val="24"/>
            <w:szCs w:val="24"/>
            <w:lang w:eastAsia="en-US"/>
          </w:rPr>
          <w:t>4</w:t>
        </w:r>
        <w:r w:rsidR="00214F4C" w:rsidRPr="00CD6450">
          <w:rPr>
            <w:rStyle w:val="Hyperlink"/>
            <w:rFonts w:eastAsia="Calibri"/>
            <w:i/>
            <w:sz w:val="24"/>
            <w:szCs w:val="24"/>
            <w:lang w:eastAsia="en-US"/>
          </w:rPr>
          <w:t xml:space="preserve">º </w:t>
        </w:r>
        <w:r w:rsidR="000C18AB" w:rsidRPr="00CD6450">
          <w:rPr>
            <w:rStyle w:val="Hyperlink"/>
            <w:rFonts w:eastAsia="Calibri"/>
            <w:i/>
            <w:sz w:val="24"/>
            <w:szCs w:val="24"/>
            <w:lang w:eastAsia="en-US"/>
          </w:rPr>
          <w:t>do Decreto nº 4.993, de 18/2/2024</w:t>
        </w:r>
        <w:r w:rsidR="00214F4C" w:rsidRPr="00CD6450">
          <w:rPr>
            <w:rStyle w:val="Hyperlink"/>
            <w:rFonts w:eastAsia="Calibri"/>
            <w:i/>
            <w:sz w:val="24"/>
            <w:szCs w:val="24"/>
            <w:lang w:eastAsia="en-US"/>
          </w:rPr>
          <w:t>, pelo Decreto nº 12.994, de 1º/6/2026)</w:t>
        </w:r>
        <w:proofErr w:type="gramStart"/>
      </w:hyperlink>
      <w:proofErr w:type="gramEnd"/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CD6450">
        <w:rPr>
          <w:sz w:val="24"/>
          <w:szCs w:val="24"/>
        </w:rPr>
        <w:t>................................................................................................................................</w:t>
      </w:r>
      <w:r w:rsidRPr="00394078">
        <w:rPr>
          <w:sz w:val="24"/>
          <w:szCs w:val="24"/>
        </w:rPr>
        <w:t xml:space="preserve"> </w:t>
      </w:r>
    </w:p>
    <w:p w:rsidR="00394078" w:rsidRPr="00394078" w:rsidRDefault="00394078" w:rsidP="00613795">
      <w:pPr>
        <w:pStyle w:val="Cabealho"/>
        <w:ind w:left="1701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Parágrafo único. Poderá ser contratada empresa pela Secretaria-Executiva da CAMEX para a concessão de garantia às operações no âmbito do Seguro de Crédito à Exportação, ao amparo do FGE, a que se refere o inciso IV do </w:t>
      </w:r>
      <w:r w:rsidR="00613795" w:rsidRPr="00613795">
        <w:rPr>
          <w:i/>
          <w:sz w:val="24"/>
          <w:szCs w:val="24"/>
        </w:rPr>
        <w:t>caput</w:t>
      </w:r>
      <w:r w:rsidRPr="00394078">
        <w:rPr>
          <w:sz w:val="24"/>
          <w:szCs w:val="24"/>
        </w:rPr>
        <w:t>." (NR)</w:t>
      </w:r>
    </w:p>
    <w:p w:rsidR="00613795" w:rsidRDefault="00613795" w:rsidP="00613795">
      <w:pPr>
        <w:pStyle w:val="Cabealho"/>
        <w:ind w:firstLine="1134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Art. 2º Ficam revogados: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I - o art. 1º do Decreto nº 7.714, de 3 de abril de 2012, na parte em que altera os incisos I e II do </w:t>
      </w:r>
      <w:r w:rsidR="00613795" w:rsidRPr="00613795">
        <w:rPr>
          <w:i/>
          <w:sz w:val="24"/>
          <w:szCs w:val="24"/>
        </w:rPr>
        <w:t>caput</w:t>
      </w:r>
      <w:r w:rsidRPr="00394078">
        <w:rPr>
          <w:sz w:val="24"/>
          <w:szCs w:val="24"/>
        </w:rPr>
        <w:t xml:space="preserve"> do art. 1º do Decreto nº 4.993, de 2004;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II - o art. 4º do Decreto nº 8.807, de 12 de julho de 2016, na parte em que altera os art. 2º e art. 3º do Decreto nº 4.993, de 2004;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III - o art. 1º do Decreto nº 9.798, de 22 de maio de 2019, na parte em que altera os seguintes dispositivos do Decreto nº 4.993, de 2004: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a) do art. 2º: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1. o inciso I do </w:t>
      </w:r>
      <w:r w:rsidR="00613795" w:rsidRPr="00613795">
        <w:rPr>
          <w:i/>
          <w:sz w:val="24"/>
          <w:szCs w:val="24"/>
        </w:rPr>
        <w:t>caput</w:t>
      </w:r>
      <w:r w:rsidRPr="00394078">
        <w:rPr>
          <w:sz w:val="24"/>
          <w:szCs w:val="24"/>
        </w:rPr>
        <w:t xml:space="preserve">;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2. as alíneas "a" a "e" do inciso II do </w:t>
      </w:r>
      <w:r w:rsidR="00613795" w:rsidRPr="00613795">
        <w:rPr>
          <w:i/>
          <w:sz w:val="24"/>
          <w:szCs w:val="24"/>
        </w:rPr>
        <w:t>caput</w:t>
      </w:r>
      <w:r w:rsidRPr="00394078">
        <w:rPr>
          <w:sz w:val="24"/>
          <w:szCs w:val="24"/>
        </w:rPr>
        <w:t xml:space="preserve">;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3. o § 1º;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4. o § 10; e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>b) os art. 3º e art. 4º; e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IV - os incisos V a VII, IX e X do </w:t>
      </w:r>
      <w:r w:rsidR="00613795" w:rsidRPr="00613795">
        <w:rPr>
          <w:i/>
          <w:sz w:val="24"/>
          <w:szCs w:val="24"/>
        </w:rPr>
        <w:t>caput</w:t>
      </w:r>
      <w:r w:rsidRPr="00394078">
        <w:rPr>
          <w:sz w:val="24"/>
          <w:szCs w:val="24"/>
        </w:rPr>
        <w:t xml:space="preserve"> do art. 4º do Decreto nº 4.993, de 2004.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Art. 3º Este Decreto entra em vigor: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I - na data de sua publicação, quanto: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>a) ao art. 1º; e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b) aos incisos I a III do </w:t>
      </w:r>
      <w:r w:rsidR="00613795" w:rsidRPr="00613795">
        <w:rPr>
          <w:i/>
          <w:sz w:val="24"/>
          <w:szCs w:val="24"/>
        </w:rPr>
        <w:t>caput</w:t>
      </w:r>
      <w:r w:rsidRPr="00394078">
        <w:rPr>
          <w:sz w:val="24"/>
          <w:szCs w:val="24"/>
        </w:rPr>
        <w:t xml:space="preserve"> do art. 2º; e</w:t>
      </w:r>
    </w:p>
    <w:p w:rsidR="00394078" w:rsidRPr="00F20CD5" w:rsidRDefault="00F20CD5" w:rsidP="00F20CD5">
      <w:pPr>
        <w:pStyle w:val="Cabealho"/>
        <w:ind w:firstLine="1134"/>
        <w:jc w:val="both"/>
        <w:rPr>
          <w:i/>
          <w:sz w:val="24"/>
          <w:szCs w:val="24"/>
        </w:rPr>
      </w:pPr>
      <w:r w:rsidRPr="00F20CD5">
        <w:rPr>
          <w:sz w:val="24"/>
          <w:szCs w:val="24"/>
        </w:rPr>
        <w:t xml:space="preserve">II - doze meses após a data de sua publicação, quanto ao inciso IV do </w:t>
      </w:r>
      <w:r w:rsidRPr="00F20CD5">
        <w:rPr>
          <w:i/>
          <w:sz w:val="24"/>
          <w:szCs w:val="24"/>
        </w:rPr>
        <w:t>caput</w:t>
      </w:r>
      <w:r w:rsidRPr="00F20CD5">
        <w:rPr>
          <w:sz w:val="24"/>
          <w:szCs w:val="24"/>
        </w:rPr>
        <w:t xml:space="preserve"> do art.</w:t>
      </w:r>
      <w:r>
        <w:rPr>
          <w:sz w:val="24"/>
          <w:szCs w:val="24"/>
        </w:rPr>
        <w:t xml:space="preserve"> </w:t>
      </w:r>
      <w:r w:rsidRPr="00F20CD5">
        <w:rPr>
          <w:sz w:val="24"/>
          <w:szCs w:val="24"/>
        </w:rPr>
        <w:t>2º.</w:t>
      </w:r>
      <w:r w:rsidR="00394078" w:rsidRPr="00394078">
        <w:rPr>
          <w:sz w:val="24"/>
          <w:szCs w:val="24"/>
        </w:rPr>
        <w:t xml:space="preserve"> </w:t>
      </w:r>
      <w:hyperlink r:id="rId9" w:history="1">
        <w:r w:rsidRPr="00BC3C75">
          <w:rPr>
            <w:rStyle w:val="Hyperlink"/>
            <w:i/>
            <w:sz w:val="24"/>
            <w:szCs w:val="24"/>
          </w:rPr>
          <w:t xml:space="preserve">(Inciso com redação dada pelo Decreto nº 11.952, de </w:t>
        </w:r>
        <w:r w:rsidR="00BC3C75" w:rsidRPr="00BC3C75">
          <w:rPr>
            <w:rStyle w:val="Hyperlink"/>
            <w:i/>
            <w:sz w:val="24"/>
            <w:szCs w:val="24"/>
          </w:rPr>
          <w:t>19/3/2024)</w:t>
        </w:r>
      </w:hyperlink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Brasília, 28 de setembro de 2023; 202º da Independência e 135º da República. </w:t>
      </w: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</w:p>
    <w:p w:rsidR="00394078" w:rsidRPr="00394078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 xml:space="preserve">LUIZ INÁCIO LULA DA SILVA </w:t>
      </w:r>
    </w:p>
    <w:p w:rsidR="00ED4307" w:rsidRDefault="00394078" w:rsidP="00613795">
      <w:pPr>
        <w:pStyle w:val="Cabealho"/>
        <w:ind w:firstLine="1134"/>
        <w:jc w:val="both"/>
        <w:rPr>
          <w:sz w:val="24"/>
          <w:szCs w:val="24"/>
        </w:rPr>
      </w:pPr>
      <w:r w:rsidRPr="00394078">
        <w:rPr>
          <w:sz w:val="24"/>
          <w:szCs w:val="24"/>
        </w:rPr>
        <w:t>Geraldo José Rodrigues Alckmin Filho</w:t>
      </w:r>
    </w:p>
    <w:sectPr w:rsidR="00ED430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B15B1"/>
    <w:rsid w:val="000B41DB"/>
    <w:rsid w:val="000B53F7"/>
    <w:rsid w:val="000C18AB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14F4C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94078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D2392"/>
    <w:rsid w:val="005E1653"/>
    <w:rsid w:val="005E3259"/>
    <w:rsid w:val="005F5226"/>
    <w:rsid w:val="00602398"/>
    <w:rsid w:val="006024C4"/>
    <w:rsid w:val="00607D21"/>
    <w:rsid w:val="00613795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A3B65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3C75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27D32"/>
    <w:rsid w:val="00C35CC0"/>
    <w:rsid w:val="00C428CC"/>
    <w:rsid w:val="00C51890"/>
    <w:rsid w:val="00C61832"/>
    <w:rsid w:val="00C66170"/>
    <w:rsid w:val="00C72B05"/>
    <w:rsid w:val="00C83F14"/>
    <w:rsid w:val="00CB3F9C"/>
    <w:rsid w:val="00CB7ABD"/>
    <w:rsid w:val="00CC0A60"/>
    <w:rsid w:val="00CD6450"/>
    <w:rsid w:val="00CD6B7A"/>
    <w:rsid w:val="00CF67BB"/>
    <w:rsid w:val="00CF7403"/>
    <w:rsid w:val="00CF7858"/>
    <w:rsid w:val="00D22EF6"/>
    <w:rsid w:val="00D34C5C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D4307"/>
    <w:rsid w:val="00EE19B8"/>
    <w:rsid w:val="00F13A54"/>
    <w:rsid w:val="00F20CD5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94-1-junho-2026-799209-publicacaooriginal-179652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4/decreto-11952-19-marco-2024-795385-publicacaooriginal-171281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4698</CharactersWithSpaces>
  <SharedDoc>false</SharedDoc>
  <HLinks>
    <vt:vector size="6" baseType="variant">
      <vt:variant>
        <vt:i4>1179670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https://www2.camara.leg.br/legin/fed/decret/2024/decreto-11952-19-marco-2024-795385-publicacaooriginal-171281-pe.html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Alexandre Pereira Pinheiro</cp:lastModifiedBy>
  <cp:revision>4</cp:revision>
  <cp:lastPrinted>2009-10-20T17:50:00Z</cp:lastPrinted>
  <dcterms:created xsi:type="dcterms:W3CDTF">2025-11-21T15:26:00Z</dcterms:created>
  <dcterms:modified xsi:type="dcterms:W3CDTF">2026-06-02T15:26:00Z</dcterms:modified>
</cp:coreProperties>
</file>