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7C778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859188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016188" w:rsidRPr="00467D99" w:rsidRDefault="00016188" w:rsidP="00467D99">
      <w:pPr>
        <w:pStyle w:val="Cabealho"/>
        <w:jc w:val="center"/>
        <w:rPr>
          <w:b/>
          <w:sz w:val="28"/>
          <w:szCs w:val="28"/>
        </w:rPr>
      </w:pPr>
      <w:r w:rsidRPr="00467D99">
        <w:rPr>
          <w:b/>
          <w:sz w:val="28"/>
          <w:szCs w:val="28"/>
        </w:rPr>
        <w:t>DECRETO Nº 11.184, DE 25 DE AGOSTO DE 2022</w:t>
      </w:r>
    </w:p>
    <w:p w:rsidR="00016188" w:rsidRPr="00016188" w:rsidRDefault="00016188" w:rsidP="00016188">
      <w:pPr>
        <w:pStyle w:val="Cabealho"/>
        <w:jc w:val="both"/>
        <w:rPr>
          <w:sz w:val="24"/>
          <w:szCs w:val="24"/>
        </w:rPr>
      </w:pPr>
    </w:p>
    <w:p w:rsidR="00016188" w:rsidRPr="00016188" w:rsidRDefault="00016188" w:rsidP="00016188">
      <w:pPr>
        <w:pStyle w:val="Cabealho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left="4536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Aprova a Estrutura Regimental e o Quadro Demonstrativo dos Cargos em Comissão e das Funções de Confiança da Superintendência de Seguros Privados - SUSEP e remaneja e transforma cargos em comissão e funções de confiança. </w:t>
      </w:r>
    </w:p>
    <w:p w:rsidR="00016188" w:rsidRPr="00016188" w:rsidRDefault="00016188" w:rsidP="00016188">
      <w:pPr>
        <w:pStyle w:val="Cabealho"/>
        <w:jc w:val="both"/>
        <w:rPr>
          <w:sz w:val="24"/>
          <w:szCs w:val="24"/>
        </w:rPr>
      </w:pPr>
    </w:p>
    <w:p w:rsidR="00016188" w:rsidRPr="00016188" w:rsidRDefault="00016188" w:rsidP="00016188">
      <w:pPr>
        <w:pStyle w:val="Cabealho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467D99">
        <w:rPr>
          <w:b/>
          <w:sz w:val="24"/>
          <w:szCs w:val="24"/>
        </w:rPr>
        <w:t>O PRESIDENTE DA REPÚBLICA</w:t>
      </w:r>
      <w:r w:rsidRPr="00016188">
        <w:rPr>
          <w:sz w:val="24"/>
          <w:szCs w:val="24"/>
        </w:rPr>
        <w:t xml:space="preserve">, no uso da atribuição que lhe confere o art. 84, </w:t>
      </w:r>
      <w:r w:rsidR="00B256CA" w:rsidRPr="00B256CA">
        <w:rPr>
          <w:i/>
          <w:sz w:val="24"/>
          <w:szCs w:val="24"/>
        </w:rPr>
        <w:t>caput</w:t>
      </w:r>
      <w:r w:rsidRPr="00016188">
        <w:rPr>
          <w:sz w:val="24"/>
          <w:szCs w:val="24"/>
        </w:rPr>
        <w:t>, inciso VI, alínea "a", da Constituição,</w:t>
      </w:r>
      <w:r w:rsidR="00405713">
        <w:rPr>
          <w:sz w:val="24"/>
          <w:szCs w:val="24"/>
        </w:rPr>
        <w:t xml:space="preserve">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467D99">
        <w:rPr>
          <w:b/>
          <w:sz w:val="24"/>
          <w:szCs w:val="24"/>
        </w:rPr>
        <w:t>DECRETA</w:t>
      </w:r>
      <w:r w:rsidRPr="00016188">
        <w:rPr>
          <w:sz w:val="24"/>
          <w:szCs w:val="24"/>
        </w:rPr>
        <w:t xml:space="preserve">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1º Ficam aprovados a Estrutura Regimental e o Quadro Demonstrativo dos Cargos em Comissão e das Funções de Confiança da Superintendência de Seguros Privados - SUSEP, na forma dos Anexos I e II.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2º Ficam remanejados, na forma do Anexo III, os seguintes cargos em comissão do Grupo-Direção e Assessoramento Superiores - DAS, Funções Comissionadas do Poder Executivo - FCPE, Funções Gratificadas - FG, Cargos Comissionados Executivos - CCE e Funções Comissionadas Executivas - FCE: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 - da SUSEP para a Secretaria de Gestão da Secretaria Especial de Desburocratização, Gestão e Governo Digital do Ministério da Economia: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a) um DAS 101.6;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b) cinco DAS 101.5;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c) seis DAS 101.4;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d) onze DAS 101.3;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e) dois DAS 101.2;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f) quatro DAS 101.1;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g) uma FCPE 101.5;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h) quatorze FCPE 101.4;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i) trinta e cinco FCPE 101.3;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j) duas FCPE 101.2; e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k) quatro FG-1; e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 - da Secretaria de Gestão da Secretaria Especial de Desburocratização, Gestão e Governo Digital do Ministério da Economia para a SUSEP: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a) um CCE 1.17;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lastRenderedPageBreak/>
        <w:t xml:space="preserve">b) cinco CCE 1.15;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c) seis CCE 1.13;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d) três CCE 1.10;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e) três CCE 1.05;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f) uma FCE 1.15;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g) quinze FCE 1.13;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h) quarenta FCE 1.10;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i) quatro FCE 1.07;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j) quatro FCE 1.05;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k) uma FCE 1.04;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l) uma FCE 1.02;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m) cinco FCE 2.10; e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n) duas FCE 4.03. 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3º Ficam transformados, nos termos do disposto no art. 6º da Lei nº 14.204, de 16 de setembro de 2021, na forma do Anexo IV: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 - em CCE: cargos em comissão do Grupo - DAS; e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 - em FCE: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a) cargos em comissão do Grupo - DAS;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b) FCPE; e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c) FG.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4º Os ocupantes dos cargos em comissão e das funções de confiança que deixam de existir na Estrutura Regimental da SUSEP por força deste Decreto ficam automaticamente exonerados ou dispensados.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5º Compete ao Conselho Nacional de Seguros Privados - CNSP aprovar o regimento interno da SUSEP, no qual serão definidas as unidades administrativas integrantes da Estrutura Regimental da SUSEP, as suas competências e as atribuições de seus dirigentes.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§ 1º O Superintendente encaminhará a proposta de regimento interno da SUSEP para apreciação do CNSP até o dia 7 de outubro de 2022.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§ 2º Enquanto não houver a aprovação do regimento interno da SUSEP, o Superintendente poderá, em ato publicado no Diário Oficial da União, e respeitados o limite de cargos em comissão e funções de confiança a que se refere o Anexo II e a estrutura organizacional definida no art. 2º do Anexo I: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 - remanejar cargos;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 - criar, remanejar ou extinguir unidades administrativas, inclusive regionais; e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III - definir atribuições para unidades administrativas.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§ 3º O CNSP votará o regimento interno da SUSEP, adaptado aos termos deste Decreto, até 21 de outubro de 2022.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§ 4º Na hipótese de descumprimento do disposto nos § 1º e § 3º ou de não aprovação do regimento interno da SUSEP, fica vedada a realização dos atos a que se refere o § 2º, mantidas as atribuições e os cargos do regimento interno em vigor compatíveis com o disposto neste Decreto.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§ 5º Os registros referentes ao regimento interno e ao disposto no § 2º serão realizados no Sistema de Organização e Inovação Institucional do Governo Federal - </w:t>
      </w:r>
      <w:proofErr w:type="spellStart"/>
      <w:r w:rsidRPr="00016188">
        <w:rPr>
          <w:sz w:val="24"/>
          <w:szCs w:val="24"/>
        </w:rPr>
        <w:t>Siorg</w:t>
      </w:r>
      <w:proofErr w:type="spellEnd"/>
      <w:r w:rsidRPr="00016188">
        <w:rPr>
          <w:sz w:val="24"/>
          <w:szCs w:val="24"/>
        </w:rPr>
        <w:t xml:space="preserve"> até o dia útil anterior à data de entrada em vigor do regimento interno ou de suas alterações.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6º Ficam revogados: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 - o Decreto nº 9.783, de 7 de maio de 2019;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 - o Decreto nº 9.956, de 6 de agosto de 2019;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III - o Decreto nº 10.582, de 18 de dezembro de 2020; e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IV - o Decreto nº 10.790, de 9 de setembro de 2021.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Art. 7º Este Decreto entra em vigor: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 - na data de sua publicação, quanto ao § 1º, ao § 3º e ao </w:t>
      </w:r>
      <w:r w:rsidR="00B256CA" w:rsidRPr="00B256CA">
        <w:rPr>
          <w:i/>
          <w:sz w:val="24"/>
          <w:szCs w:val="24"/>
        </w:rPr>
        <w:t>caput</w:t>
      </w:r>
      <w:r w:rsidRPr="00016188">
        <w:rPr>
          <w:sz w:val="24"/>
          <w:szCs w:val="24"/>
        </w:rPr>
        <w:t xml:space="preserve"> do art. 5º; e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II - em 24 de outubro de 2022, quanto aos demais dispositivos.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 xml:space="preserve">Brasília, 25 de agosto de 2022; 201º da Independência e 134º da República. </w:t>
      </w: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</w:p>
    <w:p w:rsidR="00016188" w:rsidRPr="00016188" w:rsidRDefault="00016188" w:rsidP="00467D99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JAIR MESSIAS BOLSONARO</w:t>
      </w:r>
    </w:p>
    <w:p w:rsidR="00C9415E" w:rsidRDefault="00016188" w:rsidP="00C9415E">
      <w:pPr>
        <w:pStyle w:val="Cabealho"/>
        <w:ind w:firstLine="1134"/>
        <w:jc w:val="both"/>
        <w:rPr>
          <w:sz w:val="24"/>
          <w:szCs w:val="24"/>
        </w:rPr>
      </w:pPr>
      <w:r w:rsidRPr="00016188">
        <w:rPr>
          <w:sz w:val="24"/>
          <w:szCs w:val="24"/>
        </w:rPr>
        <w:t>Paulo Guedes</w:t>
      </w:r>
    </w:p>
    <w:p w:rsidR="00C9415E" w:rsidRDefault="00C9415E" w:rsidP="00C9415E">
      <w:pPr>
        <w:pStyle w:val="Cabealho"/>
        <w:jc w:val="both"/>
        <w:rPr>
          <w:sz w:val="24"/>
          <w:szCs w:val="24"/>
        </w:rPr>
      </w:pPr>
    </w:p>
    <w:p w:rsidR="00C9415E" w:rsidRDefault="00C9415E" w:rsidP="00C9415E">
      <w:pPr>
        <w:pStyle w:val="Cabealho"/>
        <w:jc w:val="both"/>
        <w:rPr>
          <w:sz w:val="24"/>
          <w:szCs w:val="24"/>
        </w:rPr>
      </w:pPr>
    </w:p>
    <w:p w:rsidR="00C9415E" w:rsidRPr="00C9415E" w:rsidRDefault="00C9415E" w:rsidP="00F9718D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ANEXO I</w:t>
      </w:r>
    </w:p>
    <w:p w:rsidR="00C9415E" w:rsidRPr="00C9415E" w:rsidRDefault="00C9415E" w:rsidP="00F9718D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ESTRUTURA REGIMENTAL DA SUPERINTENDÊNCIA DE SEGUROS PRIVADOS</w:t>
      </w:r>
    </w:p>
    <w:p w:rsidR="00C9415E" w:rsidRPr="00C9415E" w:rsidRDefault="00C9415E" w:rsidP="00F9718D">
      <w:pPr>
        <w:pStyle w:val="Cabealho"/>
        <w:jc w:val="center"/>
        <w:rPr>
          <w:sz w:val="24"/>
          <w:szCs w:val="24"/>
        </w:rPr>
      </w:pPr>
    </w:p>
    <w:p w:rsidR="00C9415E" w:rsidRPr="00C9415E" w:rsidRDefault="00C9415E" w:rsidP="00F9718D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CAPÍTULO I</w:t>
      </w:r>
    </w:p>
    <w:p w:rsidR="00C9415E" w:rsidRPr="00C9415E" w:rsidRDefault="00C9415E" w:rsidP="00F9718D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DA NATUREZA E DA FINALIDADE</w:t>
      </w:r>
    </w:p>
    <w:p w:rsidR="00C9415E" w:rsidRPr="00C9415E" w:rsidRDefault="00C9415E" w:rsidP="00C9415E">
      <w:pPr>
        <w:pStyle w:val="Cabealho"/>
        <w:jc w:val="both"/>
        <w:rPr>
          <w:sz w:val="24"/>
          <w:szCs w:val="24"/>
        </w:rPr>
      </w:pPr>
    </w:p>
    <w:p w:rsidR="00C9415E" w:rsidRPr="00C9415E" w:rsidRDefault="00EA5339" w:rsidP="00EA5339">
      <w:pPr>
        <w:pStyle w:val="Cabealho"/>
        <w:ind w:firstLine="1134"/>
        <w:jc w:val="both"/>
        <w:rPr>
          <w:sz w:val="24"/>
          <w:szCs w:val="24"/>
        </w:rPr>
      </w:pPr>
      <w:r w:rsidRPr="00EA5339">
        <w:rPr>
          <w:sz w:val="24"/>
          <w:szCs w:val="24"/>
        </w:rPr>
        <w:t>Art. 1º A Superintendência de Seguros Privados - SUSEP, autarquia especial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vinculada ao Ministério da Fazenda, com sede e foro em Brasília, Distrito Federal, e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jurisdição no território nacional, tem como finalidade, na qualidade de executora da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política elaborada pelo Conselho Nacional de Seguros Privados - CNSP, exercer as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competências previstas no Decreto-Lei nº 73, de 21 de novembro de 1966, no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Decreto-Lei nº 261, de 28 de fevereiro de 1967, na Lei Complementar nº 109, de 29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de maio de 2001, na Lei Complementar nº 126, de 15 de janeiro de 2007, e na</w:t>
      </w:r>
      <w:r>
        <w:rPr>
          <w:sz w:val="24"/>
          <w:szCs w:val="24"/>
        </w:rPr>
        <w:t xml:space="preserve"> </w:t>
      </w:r>
      <w:r w:rsidRPr="00EA5339">
        <w:rPr>
          <w:sz w:val="24"/>
          <w:szCs w:val="24"/>
        </w:rPr>
        <w:t>legislação aplicável.</w:t>
      </w:r>
      <w:r w:rsidR="00C9415E" w:rsidRPr="00C9415E">
        <w:rPr>
          <w:sz w:val="24"/>
          <w:szCs w:val="24"/>
        </w:rPr>
        <w:t xml:space="preserve">  </w:t>
      </w:r>
      <w:hyperlink r:id="rId8" w:history="1">
        <w:r w:rsidR="002811A6" w:rsidRPr="00817939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com redação dada pelo</w:t>
        </w:r>
        <w:r w:rsidR="002811A6" w:rsidRPr="00817939">
          <w:rPr>
            <w:rStyle w:val="Hyperlink"/>
            <w:i/>
            <w:sz w:val="24"/>
            <w:szCs w:val="24"/>
          </w:rPr>
          <w:t xml:space="preserve"> Decreto nº 12.616, de 8/9/2025</w:t>
        </w:r>
        <w:r>
          <w:rPr>
            <w:rStyle w:val="Hyperlink"/>
            <w:i/>
            <w:sz w:val="24"/>
            <w:szCs w:val="24"/>
          </w:rPr>
          <w:t>, publicado no DOU de 9/9/2025, em vigor 60 dias após a publicação</w:t>
        </w:r>
        <w:r w:rsidR="002811A6" w:rsidRPr="00817939">
          <w:rPr>
            <w:rStyle w:val="Hyperlink"/>
            <w:i/>
            <w:sz w:val="24"/>
            <w:szCs w:val="24"/>
          </w:rPr>
          <w:t>)</w:t>
        </w:r>
      </w:hyperlink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3129E6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CAPÍTULO II</w:t>
      </w:r>
    </w:p>
    <w:p w:rsidR="00C9415E" w:rsidRPr="00C9415E" w:rsidRDefault="00C9415E" w:rsidP="003129E6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DA ESTRUTURA ORGANIZACIONAL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2º A SUSEP tem a seguinte estrutura organizacional: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 - órgão colegiado: Conselho Diretor;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 - quatro Diretorias;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III - um Departamento;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IV - órgãos seccionais: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a) Auditoria Interna;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b) Corregedoria;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c) Procuradoria Federal;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d) Ouvidoria. </w:t>
      </w:r>
    </w:p>
    <w:p w:rsidR="003129E6" w:rsidRDefault="003129E6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3129E6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CAPÍTULO III</w:t>
      </w:r>
    </w:p>
    <w:p w:rsidR="00C9415E" w:rsidRPr="00C9415E" w:rsidRDefault="00C9415E" w:rsidP="003129E6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DA DIREÇÃO E DA NOMEAÇÃO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3º A SUSEP será dirigida pelo Conselho Diretor.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4º As nomeações para os cargos em comissão e as designações para as funções de confiança integrantes da Estrutura Regimental da SUSEP serão efetuadas na forma prevista na legislação.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§ 1º O Corregedor-Geral terá sua indicação submetida previamente à apreciação do órgão central do Sistema de Correição do Poder Executivo Federal, na forma estabelecida no § 1º do art. 8º do Decreto nº 5.480, de 30 de junho de 2005. 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§ 2º O Procurador-Chefe será indicado pelo Advogado-Geral da União, na forma estabelecida no § 3º do art. 12 da Lei nº 10.480, de 2 de julho de 2002.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§ 3º O </w:t>
      </w:r>
      <w:proofErr w:type="spellStart"/>
      <w:r w:rsidRPr="00C9415E">
        <w:rPr>
          <w:sz w:val="24"/>
          <w:szCs w:val="24"/>
        </w:rPr>
        <w:t>Auditor-Chefe</w:t>
      </w:r>
      <w:proofErr w:type="spellEnd"/>
      <w:r w:rsidRPr="00C9415E">
        <w:rPr>
          <w:sz w:val="24"/>
          <w:szCs w:val="24"/>
        </w:rPr>
        <w:t xml:space="preserve"> será indicado na forma estabelecida no § 5º do art. 15 do Decreto nº 3.591, de 6 de setembro de 2000.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§ 4º O Ouvidor terá sua nomeação submetida à aprovação da Controladoria-Geral da União, na forma estabelecida no § 1º do art. 11 do Decreto nº 9.492, de 5 de setembro de 2018. 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B44891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CAPÍTULO IV</w:t>
      </w:r>
    </w:p>
    <w:p w:rsidR="00C9415E" w:rsidRPr="00C9415E" w:rsidRDefault="00C9415E" w:rsidP="00B44891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DAS COMPETÊNCIAS DOS ÓRGÃOS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B44891" w:rsidRDefault="00C9415E" w:rsidP="00B44891">
      <w:pPr>
        <w:pStyle w:val="Cabealho"/>
        <w:jc w:val="center"/>
        <w:rPr>
          <w:b/>
          <w:sz w:val="24"/>
          <w:szCs w:val="24"/>
        </w:rPr>
      </w:pPr>
      <w:r w:rsidRPr="00B44891">
        <w:rPr>
          <w:b/>
          <w:sz w:val="24"/>
          <w:szCs w:val="24"/>
        </w:rPr>
        <w:t>Seção I</w:t>
      </w:r>
    </w:p>
    <w:p w:rsidR="00C9415E" w:rsidRPr="00B44891" w:rsidRDefault="00C9415E" w:rsidP="00B44891">
      <w:pPr>
        <w:pStyle w:val="Cabealho"/>
        <w:jc w:val="center"/>
        <w:rPr>
          <w:b/>
          <w:sz w:val="24"/>
          <w:szCs w:val="24"/>
        </w:rPr>
      </w:pPr>
      <w:r w:rsidRPr="00B44891">
        <w:rPr>
          <w:b/>
          <w:sz w:val="24"/>
          <w:szCs w:val="24"/>
        </w:rPr>
        <w:t>Do órgão colegiado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5º Ao Conselho Diretor compete: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 - estabelecer a política geral da SUSEP;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 - exercer as suas competências legais e regulamentares;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III - cumprir e fazer cumprir as suas deliberações e as do CNSP;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IV - aprovar as resoluções que serão objeto de voto apresentado pelo representante da SUSEP no CNSP;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V - estabelecer as diretrizes e planejar as atividades inerentes à SUSEP, com vistas à ordenação e à supervisão dos mercados segurador, </w:t>
      </w:r>
      <w:proofErr w:type="spellStart"/>
      <w:r w:rsidRPr="00C9415E">
        <w:rPr>
          <w:sz w:val="24"/>
          <w:szCs w:val="24"/>
        </w:rPr>
        <w:t>ressegurador</w:t>
      </w:r>
      <w:proofErr w:type="spellEnd"/>
      <w:r w:rsidRPr="00C9415E">
        <w:rPr>
          <w:sz w:val="24"/>
          <w:szCs w:val="24"/>
        </w:rPr>
        <w:t xml:space="preserve">, de previdência complementar aberta e de capitalização e das sociedades e entidades supervisionadas. 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155ACE" w:rsidRDefault="00C9415E" w:rsidP="00B44891">
      <w:pPr>
        <w:pStyle w:val="Cabealho"/>
        <w:jc w:val="center"/>
        <w:rPr>
          <w:b/>
          <w:sz w:val="24"/>
          <w:szCs w:val="24"/>
        </w:rPr>
      </w:pPr>
      <w:r w:rsidRPr="00155ACE">
        <w:rPr>
          <w:b/>
          <w:sz w:val="24"/>
          <w:szCs w:val="24"/>
        </w:rPr>
        <w:t>Seção II</w:t>
      </w:r>
    </w:p>
    <w:p w:rsidR="00C9415E" w:rsidRPr="00155ACE" w:rsidRDefault="00C9415E" w:rsidP="00B44891">
      <w:pPr>
        <w:pStyle w:val="Cabealho"/>
        <w:jc w:val="center"/>
        <w:rPr>
          <w:b/>
          <w:sz w:val="24"/>
          <w:szCs w:val="24"/>
        </w:rPr>
      </w:pPr>
      <w:r w:rsidRPr="00155ACE">
        <w:rPr>
          <w:b/>
          <w:sz w:val="24"/>
          <w:szCs w:val="24"/>
        </w:rPr>
        <w:t>Do Conselho Diretor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6º O Conselho Diretor se reunirá, em caráter ordinário, na forma a ser estabelecida no regimento interno e, em caráter extraordinário, mediante convocação de um de seus membros.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§ 1º O Conselho Diretor será formado pelo Superintendente da SUSEP e por quatro Diretores.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§ 2º O quórum de reunião e de aprovação do Conselho Diretor é de maioria simples.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§ 3º Na hipótese de empate, além do voto ordinário, o Superintendente terá o voto de qualidade.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§ 4º Nas </w:t>
      </w:r>
      <w:proofErr w:type="spellStart"/>
      <w:r w:rsidRPr="00C9415E">
        <w:rPr>
          <w:sz w:val="24"/>
          <w:szCs w:val="24"/>
        </w:rPr>
        <w:t>reuinões</w:t>
      </w:r>
      <w:proofErr w:type="spellEnd"/>
      <w:r w:rsidRPr="00C9415E">
        <w:rPr>
          <w:sz w:val="24"/>
          <w:szCs w:val="24"/>
        </w:rPr>
        <w:t xml:space="preserve"> do Conselho Diretor, deverão estar presentes, no mínimo, o Superintendente e dois Diretores.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lastRenderedPageBreak/>
        <w:t>§ 5º O Superintendente ou qualquer um dos Diretores poderá convocar servidores da SUSEP e consultar especialistas e representantes de outras instituições para assessorá-lo em suas deliberações.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§ 6º O Procurador-Chefe e os representantes a que se refere o § 5º poderão participar das reuniões do Conselho Diretor, sem direito a voto.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§ 7º Das reuniões do Conselho Diretor serão lavradas atas específicas, das quais constará, quando necessário, a sua forma de divulgação.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§ 8º O regimento interno da SUSEP poderá detalhar o funcionamento das reuniões do Conselho Diretor. 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B44891" w:rsidRDefault="00C9415E" w:rsidP="00B44891">
      <w:pPr>
        <w:pStyle w:val="Cabealho"/>
        <w:jc w:val="center"/>
        <w:rPr>
          <w:b/>
          <w:sz w:val="24"/>
          <w:szCs w:val="24"/>
        </w:rPr>
      </w:pPr>
      <w:r w:rsidRPr="00B44891">
        <w:rPr>
          <w:b/>
          <w:sz w:val="24"/>
          <w:szCs w:val="24"/>
        </w:rPr>
        <w:t>Seção III</w:t>
      </w:r>
    </w:p>
    <w:p w:rsidR="00C9415E" w:rsidRPr="00B44891" w:rsidRDefault="00C9415E" w:rsidP="00B44891">
      <w:pPr>
        <w:pStyle w:val="Cabealho"/>
        <w:jc w:val="center"/>
        <w:rPr>
          <w:b/>
          <w:sz w:val="24"/>
          <w:szCs w:val="24"/>
        </w:rPr>
      </w:pPr>
      <w:r w:rsidRPr="00B44891">
        <w:rPr>
          <w:b/>
          <w:sz w:val="24"/>
          <w:szCs w:val="24"/>
        </w:rPr>
        <w:t>Dos órgãos seccionais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7º À Auditoria Interna compete: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 - realizar auditorias nos sistemas contábil, financeiro, de execução orçamentária, de pessoal e nos demais sistemas administrativos da SUSEP;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 - propor ao Conselho Diretor a adoção de medidas necessárias ao aperfeiçoamento do funcionamento das unidades administrativas da SUSEP.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8º À Corregedoria compete analisar a pertinência de denúncias relativas à atuação dos dirigentes e dos servidores da SUSEP e promover a instauração de sindicâncias e processos administrativos disciplinares.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9º À Procuradoria Federal junto à SUSEP, órgão de execução da Procuradoria-Geral Federal, compete: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 - representar judicial e extrajudicialmente a SUSEP, observadas as normas estabelecidas pela Procuradoria-Geral Federal;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 - orientar a execução da representação judicial da SUSEP, quando sob a responsabilidade dos demais órgãos de execução da Procuradoria;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III - exercer as atividades de consultoria e assessoramento jurídicos no âmbito da SUSEP, e aplicar, no que couber, o disposto no art. 11 da Lei Complementar nº 73, de 10 de fevereiro de 1993;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IV - auxiliar os demais órgãos de execução da Procuradoria-Geral Federal na apuração da liquidez e da certeza de créditos, de qualquer natureza, inerentes às atividades da SUSEP, para inscrição em dívida ativa e respectiva cobrança;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V - zelar pela observância da Constituição, das leis e dos atos emanados pelos Poderes Públicos, sob a orientação normativa da Advocacia-Geral da União e da Procuradoria-Geral Federal;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VI - encaminhar à Advocacia-Geral da União ou à Procuradoria-Geral Federal, conforme o caso, pedido de apuração de falta funcional praticada por seus membros.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10. À Ouvidoria compete: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 - executar as atividades previstas no art. 13 da Lei nº 13.460, de 26 de junho de 2017;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 - propor ações e sugerir prioridades nas atividades no âmbito de sua competência;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III - informar ao órgão central do Sistema de Ouvidoria do Poder Executivo federal sobre o acompanhamento e a avaliação dos programas e dos projetos de atividades de ouvidoria;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lastRenderedPageBreak/>
        <w:t>IV - processar as informações obtidas por meio das manifestações recebidas e das pesquisas de satisfação realizadas para avaliar os serviços prestados;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V - produzir e analisar dados e informações sobre as atividades de ouvidoria, para subsidiar recomendações e propostas de medidas para aprimorar a prestação dos serviços e para corrigir eventuais falhas. 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B44891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CAPÍTULO V</w:t>
      </w:r>
    </w:p>
    <w:p w:rsidR="00C9415E" w:rsidRPr="00C9415E" w:rsidRDefault="00C9415E" w:rsidP="00B44891">
      <w:pPr>
        <w:pStyle w:val="Cabealho"/>
        <w:jc w:val="center"/>
        <w:rPr>
          <w:sz w:val="24"/>
          <w:szCs w:val="24"/>
        </w:rPr>
      </w:pPr>
      <w:r w:rsidRPr="00C9415E">
        <w:rPr>
          <w:sz w:val="24"/>
          <w:szCs w:val="24"/>
        </w:rPr>
        <w:t>DAS ATRIBUIÇÕES DOS DIRIGENTES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B44891" w:rsidRDefault="00C9415E" w:rsidP="00B44891">
      <w:pPr>
        <w:pStyle w:val="Cabealho"/>
        <w:jc w:val="center"/>
        <w:rPr>
          <w:b/>
          <w:sz w:val="24"/>
          <w:szCs w:val="24"/>
        </w:rPr>
      </w:pPr>
      <w:r w:rsidRPr="00B44891">
        <w:rPr>
          <w:b/>
          <w:sz w:val="24"/>
          <w:szCs w:val="24"/>
        </w:rPr>
        <w:t>Seção I</w:t>
      </w:r>
    </w:p>
    <w:p w:rsidR="00C9415E" w:rsidRPr="00C9415E" w:rsidRDefault="00C9415E" w:rsidP="00B44891">
      <w:pPr>
        <w:pStyle w:val="Cabealho"/>
        <w:jc w:val="center"/>
        <w:rPr>
          <w:sz w:val="24"/>
          <w:szCs w:val="24"/>
        </w:rPr>
      </w:pPr>
      <w:r w:rsidRPr="00B44891">
        <w:rPr>
          <w:b/>
          <w:sz w:val="24"/>
          <w:szCs w:val="24"/>
        </w:rPr>
        <w:t>Do Superintendente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Art. 11. Ao Superintendente incumbe: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 - planejar, dirigir, coordenar e controlar as atividades da SUSEP, em consonância com as diretrizes do CNSP;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>II - representar a SUSEP; e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III - convocar e presidir as reuniões do Conselho Diretor. 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Pr="00B44891" w:rsidRDefault="00C9415E" w:rsidP="00B44891">
      <w:pPr>
        <w:pStyle w:val="Cabealho"/>
        <w:jc w:val="center"/>
        <w:rPr>
          <w:b/>
          <w:sz w:val="24"/>
          <w:szCs w:val="24"/>
        </w:rPr>
      </w:pPr>
      <w:r w:rsidRPr="00B44891">
        <w:rPr>
          <w:b/>
          <w:sz w:val="24"/>
          <w:szCs w:val="24"/>
        </w:rPr>
        <w:t>Seção II</w:t>
      </w:r>
    </w:p>
    <w:p w:rsidR="00C9415E" w:rsidRPr="00C9415E" w:rsidRDefault="00C9415E" w:rsidP="00B44891">
      <w:pPr>
        <w:pStyle w:val="Cabealho"/>
        <w:jc w:val="center"/>
        <w:rPr>
          <w:sz w:val="24"/>
          <w:szCs w:val="24"/>
        </w:rPr>
      </w:pPr>
      <w:r w:rsidRPr="00B44891">
        <w:rPr>
          <w:b/>
          <w:sz w:val="24"/>
          <w:szCs w:val="24"/>
        </w:rPr>
        <w:t>Dos demais dirigentes</w:t>
      </w:r>
    </w:p>
    <w:p w:rsidR="00C9415E" w:rsidRP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</w:p>
    <w:p w:rsidR="00C9415E" w:rsidRDefault="00C9415E" w:rsidP="00C9415E">
      <w:pPr>
        <w:pStyle w:val="Cabealho"/>
        <w:ind w:firstLine="1134"/>
        <w:jc w:val="both"/>
        <w:rPr>
          <w:sz w:val="24"/>
          <w:szCs w:val="24"/>
        </w:rPr>
      </w:pPr>
      <w:r w:rsidRPr="00C9415E">
        <w:rPr>
          <w:sz w:val="24"/>
          <w:szCs w:val="24"/>
        </w:rPr>
        <w:t xml:space="preserve">Art. 12.  Aos Diretores, ao Chefe de Departamento, ao </w:t>
      </w:r>
      <w:proofErr w:type="spellStart"/>
      <w:r w:rsidRPr="00C9415E">
        <w:rPr>
          <w:sz w:val="24"/>
          <w:szCs w:val="24"/>
        </w:rPr>
        <w:t>Auditor-Chefe</w:t>
      </w:r>
      <w:proofErr w:type="spellEnd"/>
      <w:r w:rsidRPr="00C9415E">
        <w:rPr>
          <w:sz w:val="24"/>
          <w:szCs w:val="24"/>
        </w:rPr>
        <w:t>, ao Corregedor, ao Procurador-Chefe, ao Ouvidor e aos demais dirigentes incumbe planejar, dirigir, supervisionar, coordenar, orientar e avaliar a execução das atividades de suas unidades e exercer outras atribuições que lhes forem cometidas pelo Superintendente.</w:t>
      </w:r>
    </w:p>
    <w:p w:rsidR="00F9718D" w:rsidRDefault="00F9718D" w:rsidP="00F9718D">
      <w:pPr>
        <w:pStyle w:val="Cabealho"/>
        <w:jc w:val="both"/>
        <w:rPr>
          <w:sz w:val="24"/>
          <w:szCs w:val="24"/>
        </w:rPr>
      </w:pPr>
    </w:p>
    <w:p w:rsidR="00F9718D" w:rsidRPr="00C82C5B" w:rsidRDefault="00F9718D" w:rsidP="00F9718D">
      <w:pPr>
        <w:pStyle w:val="Cabealho"/>
        <w:jc w:val="both"/>
        <w:rPr>
          <w:sz w:val="24"/>
          <w:szCs w:val="24"/>
        </w:rPr>
      </w:pPr>
    </w:p>
    <w:p w:rsidR="00F9718D" w:rsidRPr="00C82C5B" w:rsidRDefault="00F9718D" w:rsidP="00F9718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lang w:val="pt-PT"/>
        </w:rPr>
      </w:pPr>
      <w:r w:rsidRPr="00C82C5B">
        <w:rPr>
          <w:color w:val="000000"/>
          <w:lang w:val="pt-PT"/>
        </w:rPr>
        <w:t>ANEXO II</w:t>
      </w:r>
      <w:r w:rsidRPr="00C82C5B">
        <w:rPr>
          <w:b/>
          <w:bCs/>
          <w:color w:val="000000"/>
          <w:lang w:val="pt-PT"/>
        </w:rPr>
        <w:t> </w:t>
      </w:r>
    </w:p>
    <w:p w:rsidR="00C82C5B" w:rsidRPr="00C82C5B" w:rsidRDefault="007C778C" w:rsidP="00F9718D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hyperlink r:id="rId9" w:history="1">
        <w:r w:rsidR="00C82C5B" w:rsidRPr="007C778C">
          <w:rPr>
            <w:rStyle w:val="Hyperlink"/>
            <w:bCs/>
            <w:i/>
            <w:lang w:val="pt-PT"/>
          </w:rPr>
          <w:t>(</w:t>
        </w:r>
        <w:r w:rsidR="003E6FCF" w:rsidRPr="007C778C">
          <w:rPr>
            <w:rStyle w:val="Hyperlink"/>
            <w:bCs/>
            <w:i/>
            <w:lang w:val="pt-PT"/>
          </w:rPr>
          <w:t>Anexo com redação dada pelo Anexo III ao</w:t>
        </w:r>
        <w:r w:rsidR="00C82C5B" w:rsidRPr="007C778C">
          <w:rPr>
            <w:rStyle w:val="Hyperlink"/>
            <w:bCs/>
            <w:i/>
            <w:lang w:val="pt-PT"/>
          </w:rPr>
          <w:t xml:space="preserve"> Decreto nº 12.801, de 26/12/2025</w:t>
        </w:r>
        <w:r w:rsidR="003E6FCF" w:rsidRPr="007C778C">
          <w:rPr>
            <w:rStyle w:val="Hyperlink"/>
            <w:bCs/>
            <w:i/>
            <w:lang w:val="pt-PT"/>
          </w:rPr>
          <w:t>, publicado no DOU de 29/12/2025, em vigor em 30/12/2025</w:t>
        </w:r>
        <w:r w:rsidR="00C82C5B" w:rsidRPr="007C778C">
          <w:rPr>
            <w:rStyle w:val="Hyperlink"/>
            <w:bCs/>
            <w:i/>
            <w:lang w:val="pt-PT"/>
          </w:rPr>
          <w:t>)</w:t>
        </w:r>
        <w:proofErr w:type="gramStart"/>
      </w:hyperlink>
      <w:bookmarkStart w:id="0" w:name="_GoBack"/>
      <w:bookmarkEnd w:id="0"/>
      <w:proofErr w:type="gramEnd"/>
    </w:p>
    <w:p w:rsidR="00C82C5B" w:rsidRDefault="00C82C5B" w:rsidP="00F9718D">
      <w:pPr>
        <w:pStyle w:val="PargrafodaLista"/>
        <w:spacing w:before="0" w:beforeAutospacing="0" w:after="0" w:afterAutospacing="0"/>
        <w:jc w:val="both"/>
        <w:rPr>
          <w:color w:val="000000"/>
          <w:sz w:val="22"/>
          <w:szCs w:val="22"/>
          <w:lang w:val="pt-PT"/>
        </w:rPr>
      </w:pPr>
    </w:p>
    <w:p w:rsidR="008772F8" w:rsidRPr="008772F8" w:rsidRDefault="008772F8" w:rsidP="008772F8">
      <w:pPr>
        <w:jc w:val="both"/>
        <w:rPr>
          <w:sz w:val="22"/>
          <w:szCs w:val="22"/>
        </w:rPr>
      </w:pPr>
      <w:bookmarkStart w:id="1" w:name="anexo3"/>
      <w:bookmarkEnd w:id="1"/>
      <w:r w:rsidRPr="008772F8">
        <w:rPr>
          <w:sz w:val="22"/>
          <w:szCs w:val="22"/>
        </w:rPr>
        <w:t>a) QUADRO DEMONSTRATIVO DOS CARGOS EM COMISSÃO E DAS FUNÇÕES DE CONFIANÇA DA SUPERINTENDÊNCIA DE SEGUROS PRIVADOS – SUSEP: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1886"/>
        <w:gridCol w:w="3168"/>
        <w:gridCol w:w="1140"/>
      </w:tblGrid>
      <w:tr w:rsidR="008772F8" w:rsidRPr="008772F8" w:rsidTr="008772F8">
        <w:trPr>
          <w:jc w:val="center"/>
        </w:trPr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bookmarkStart w:id="2" w:name="_Hlk212539703"/>
            <w:r w:rsidRPr="008772F8">
              <w:rPr>
                <w:sz w:val="22"/>
                <w:szCs w:val="22"/>
              </w:rPr>
              <w:t>UNIDADE</w:t>
            </w:r>
            <w:bookmarkEnd w:id="2"/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2F8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CARGO/FUNÇÃO</w:t>
            </w:r>
          </w:p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Nº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2F8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DENOMINAÇÃO</w:t>
            </w:r>
          </w:p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CARGO/FUNÇÃO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CCE/FCE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2F8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Superintendente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1.17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DIRETORIA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DEPARTAMENTO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 de Departamento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AUDITORIA INTERNA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spellStart"/>
            <w:r w:rsidRPr="008772F8">
              <w:rPr>
                <w:sz w:val="22"/>
                <w:szCs w:val="22"/>
              </w:rPr>
              <w:t>Auditor-Chefe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CORREGEDORIA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Corregedor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PROCURADORIA FEDERAL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Procurador-Chefe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Gabinete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Assessoria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 de Assessoria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lastRenderedPageBreak/>
              <w:t>Coordenação-Geral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Coordenação-Geral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OUVIDORIA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Ouvidor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1.13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Coordenação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1.10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Escritório no Rio de Janeiro - RJ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1.10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Coordenação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56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1.10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2F8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2.10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Divisão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1.07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Serviço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1.05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Escritório em São Paulo - SP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Escritório em Porto Alegre - RS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Serviço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1.05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Seção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1.04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Setor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1.02</w:t>
            </w:r>
          </w:p>
        </w:tc>
      </w:tr>
      <w:tr w:rsidR="008772F8" w:rsidRPr="008772F8" w:rsidTr="008772F8">
        <w:trPr>
          <w:jc w:val="center"/>
        </w:trPr>
        <w:tc>
          <w:tcPr>
            <w:tcW w:w="1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2F8" w:rsidRPr="008772F8" w:rsidRDefault="008772F8" w:rsidP="008772F8">
            <w:pPr>
              <w:jc w:val="both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4.03</w:t>
            </w:r>
          </w:p>
        </w:tc>
      </w:tr>
    </w:tbl>
    <w:p w:rsidR="008772F8" w:rsidRPr="008772F8" w:rsidRDefault="008772F8" w:rsidP="008772F8">
      <w:pPr>
        <w:jc w:val="center"/>
        <w:rPr>
          <w:sz w:val="22"/>
          <w:szCs w:val="22"/>
        </w:rPr>
      </w:pPr>
    </w:p>
    <w:p w:rsidR="008772F8" w:rsidRPr="008772F8" w:rsidRDefault="008772F8" w:rsidP="008772F8">
      <w:pPr>
        <w:jc w:val="both"/>
        <w:rPr>
          <w:sz w:val="22"/>
          <w:szCs w:val="22"/>
        </w:rPr>
      </w:pPr>
      <w:r w:rsidRPr="008772F8">
        <w:rPr>
          <w:sz w:val="22"/>
          <w:szCs w:val="22"/>
        </w:rPr>
        <w:t>b) QUADRO RESUMO DE CUSTOS DOS CARGOS EM COMISSÃO E DAS FUNÇÕES DE CONFIANÇA DA SUSEP: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20"/>
        <w:gridCol w:w="869"/>
        <w:gridCol w:w="2123"/>
        <w:gridCol w:w="870"/>
        <w:gridCol w:w="2123"/>
      </w:tblGrid>
      <w:tr w:rsidR="008772F8" w:rsidRPr="008772F8" w:rsidTr="008772F8">
        <w:tc>
          <w:tcPr>
            <w:tcW w:w="7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CÓDIGO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SITUAÇÃO ATUAL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SITUAÇÃO NOVA</w:t>
            </w:r>
          </w:p>
        </w:tc>
      </w:tr>
      <w:tr w:rsidR="008772F8" w:rsidRPr="008772F8" w:rsidTr="008772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72F8" w:rsidRPr="008772F8" w:rsidRDefault="008772F8" w:rsidP="00877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72F8" w:rsidRPr="008772F8" w:rsidRDefault="008772F8" w:rsidP="00877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QTD.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QTD.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VALOR TOTAL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7,08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7,08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7,08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27,05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27,05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24,72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32,96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6,36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14,84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CCE 1.05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3,00</w:t>
            </w:r>
          </w:p>
        </w:tc>
      </w:tr>
      <w:tr w:rsidR="008772F8" w:rsidRPr="008772F8" w:rsidTr="008772F8">
        <w:tc>
          <w:tcPr>
            <w:tcW w:w="18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 xml:space="preserve">SUBTOTAL </w:t>
            </w: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68,21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84,93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3,25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37,05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46,93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50,80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71,12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3,32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2,40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0,44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1.02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0,21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2.10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6,35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6,35</w:t>
            </w:r>
          </w:p>
        </w:tc>
      </w:tr>
      <w:tr w:rsidR="008772F8" w:rsidRPr="008772F8" w:rsidTr="008772F8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FCE 4.03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proofErr w:type="gramStart"/>
            <w:r w:rsidRPr="008772F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0,74</w:t>
            </w:r>
          </w:p>
        </w:tc>
      </w:tr>
      <w:tr w:rsidR="008772F8" w:rsidRPr="008772F8" w:rsidTr="008772F8">
        <w:tc>
          <w:tcPr>
            <w:tcW w:w="18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 xml:space="preserve">SUBTOTAL </w:t>
            </w:r>
            <w:proofErr w:type="gramStart"/>
            <w:r w:rsidRPr="008772F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104,56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134,76</w:t>
            </w:r>
          </w:p>
        </w:tc>
      </w:tr>
      <w:tr w:rsidR="008772F8" w:rsidRPr="008772F8" w:rsidTr="008772F8">
        <w:tc>
          <w:tcPr>
            <w:tcW w:w="18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172,77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C3193" w:rsidRPr="008772F8" w:rsidRDefault="008772F8" w:rsidP="008772F8">
            <w:pPr>
              <w:jc w:val="center"/>
              <w:rPr>
                <w:sz w:val="22"/>
                <w:szCs w:val="22"/>
              </w:rPr>
            </w:pPr>
            <w:r w:rsidRPr="008772F8">
              <w:rPr>
                <w:sz w:val="22"/>
                <w:szCs w:val="22"/>
              </w:rPr>
              <w:t>219,69</w:t>
            </w:r>
          </w:p>
        </w:tc>
      </w:tr>
    </w:tbl>
    <w:p w:rsidR="008772F8" w:rsidRPr="008772F8" w:rsidRDefault="008772F8" w:rsidP="008772F8">
      <w:pPr>
        <w:rPr>
          <w:sz w:val="22"/>
          <w:szCs w:val="22"/>
          <w:lang w:val="pt-PT"/>
        </w:rPr>
      </w:pPr>
    </w:p>
    <w:p w:rsidR="008772F8" w:rsidRPr="008772F8" w:rsidRDefault="008772F8" w:rsidP="008772F8">
      <w:pPr>
        <w:rPr>
          <w:lang w:val="pt-PT"/>
        </w:rPr>
      </w:pPr>
    </w:p>
    <w:p w:rsidR="00F9718D" w:rsidRPr="00F9718D" w:rsidRDefault="00F9718D" w:rsidP="004F7E73">
      <w:pPr>
        <w:pStyle w:val="Ttulo1"/>
        <w:ind w:firstLine="0"/>
        <w:jc w:val="center"/>
        <w:rPr>
          <w:color w:val="000000"/>
          <w:sz w:val="22"/>
          <w:szCs w:val="22"/>
        </w:rPr>
      </w:pPr>
      <w:r w:rsidRPr="00F9718D">
        <w:rPr>
          <w:color w:val="000000"/>
          <w:sz w:val="22"/>
          <w:szCs w:val="22"/>
          <w:lang w:val="pt-PT"/>
        </w:rPr>
        <w:t>ANEXO III</w:t>
      </w:r>
    </w:p>
    <w:p w:rsidR="00F9718D" w:rsidRDefault="00F9718D" w:rsidP="004F7E73">
      <w:pPr>
        <w:pStyle w:val="Corpodetexto"/>
        <w:jc w:val="center"/>
        <w:rPr>
          <w:color w:val="000000"/>
          <w:sz w:val="22"/>
          <w:szCs w:val="22"/>
          <w:lang w:val="pt-PT"/>
        </w:rPr>
      </w:pPr>
      <w:r w:rsidRPr="00F9718D">
        <w:rPr>
          <w:color w:val="000000"/>
          <w:sz w:val="22"/>
          <w:szCs w:val="22"/>
          <w:lang w:val="pt-PT"/>
        </w:rPr>
        <w:t xml:space="preserve">REMANEJAMENTO DE CARGOS EM COMISSÃO DO GRUPO-DIREÇÃO E ASSESSORAMENTO SUPERIORES - DAS, DE FUNÇÕES COMISSIONADAS DO PODER EXECUTIVO - FCPE, DE FUNÇÕES GRATIFICADAS - FG, DE CARGOS COMISSIONADOS EXECUTIVOS - CCE E DE FUNÇÕES COMISSIONADAS EXECUTIVAS </w:t>
      </w:r>
      <w:r w:rsidR="004F7E73">
        <w:rPr>
          <w:color w:val="000000"/>
          <w:sz w:val="22"/>
          <w:szCs w:val="22"/>
          <w:lang w:val="pt-PT"/>
        </w:rPr>
        <w:t>–</w:t>
      </w:r>
      <w:r w:rsidRPr="00F9718D">
        <w:rPr>
          <w:color w:val="000000"/>
          <w:sz w:val="22"/>
          <w:szCs w:val="22"/>
          <w:lang w:val="pt-PT"/>
        </w:rPr>
        <w:t xml:space="preserve"> FCE</w:t>
      </w:r>
    </w:p>
    <w:p w:rsidR="004F7E73" w:rsidRPr="00F9718D" w:rsidRDefault="004F7E73" w:rsidP="004F7E73">
      <w:pPr>
        <w:pStyle w:val="Corpodetexto"/>
        <w:jc w:val="center"/>
        <w:rPr>
          <w:color w:val="000000"/>
          <w:sz w:val="22"/>
          <w:szCs w:val="22"/>
        </w:rPr>
      </w:pPr>
    </w:p>
    <w:p w:rsidR="00F9718D" w:rsidRPr="00F9718D" w:rsidRDefault="00F9718D" w:rsidP="00F9718D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9718D">
        <w:rPr>
          <w:color w:val="000000"/>
          <w:sz w:val="22"/>
          <w:szCs w:val="22"/>
          <w:lang w:val="pt-PT"/>
        </w:rPr>
        <w:lastRenderedPageBreak/>
        <w:t>a) DA SUPERINTENDÊNCIA DE SEGUROS PRIVADOS - SUSEP PARA A SECRETARIA DE GESTÃO DA SECRETARIA ESPECIAL DE DESBUROCRATIZAÇÃO, GESTÃO E GOVERNO DIGITAL DO MINISTÉRIO DA ECONOMIA: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617"/>
        <w:gridCol w:w="1268"/>
        <w:gridCol w:w="3731"/>
      </w:tblGrid>
      <w:tr w:rsidR="00F9718D" w:rsidRPr="00F9718D" w:rsidTr="00F9718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 SUSEP PARA A SEGES/ME</w:t>
            </w:r>
          </w:p>
        </w:tc>
      </w:tr>
      <w:tr w:rsidR="00F9718D" w:rsidRPr="00F9718D" w:rsidTr="00F9718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VALOR TOTAL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6,27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25,20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23,04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DAS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23,10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DAS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2,54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DAS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4,00</w:t>
            </w:r>
          </w:p>
        </w:tc>
      </w:tr>
      <w:tr w:rsidR="00F9718D" w:rsidRPr="00F9718D" w:rsidTr="00F9718D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SUBTOTAL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84,15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FCPE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3,03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32,20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44,10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FCPE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1,52</w:t>
            </w:r>
          </w:p>
        </w:tc>
      </w:tr>
      <w:tr w:rsidR="00F9718D" w:rsidRPr="00F9718D" w:rsidTr="00F9718D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SUBTOTAL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80,85</w:t>
            </w:r>
          </w:p>
        </w:tc>
      </w:tr>
      <w:tr w:rsidR="00F9718D" w:rsidRPr="00F9718D" w:rsidTr="00F971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0,80</w:t>
            </w:r>
          </w:p>
        </w:tc>
      </w:tr>
      <w:tr w:rsidR="00F9718D" w:rsidRPr="00F9718D" w:rsidTr="00F9718D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SUBTOTAL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0,80</w:t>
            </w:r>
          </w:p>
        </w:tc>
      </w:tr>
      <w:tr w:rsidR="00F9718D" w:rsidRPr="00F9718D" w:rsidTr="00F9718D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pStyle w:val="table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  <w:lang w:val="pt-PT"/>
              </w:rPr>
              <w:t>165,80</w:t>
            </w:r>
          </w:p>
        </w:tc>
      </w:tr>
    </w:tbl>
    <w:p w:rsidR="004F7E73" w:rsidRDefault="004F7E73" w:rsidP="00F9718D">
      <w:pPr>
        <w:pStyle w:val="Corpodetexto"/>
        <w:jc w:val="both"/>
        <w:rPr>
          <w:color w:val="000000"/>
          <w:sz w:val="22"/>
          <w:szCs w:val="22"/>
          <w:lang w:val="pt-PT"/>
        </w:rPr>
      </w:pPr>
    </w:p>
    <w:p w:rsidR="00F9718D" w:rsidRPr="00F9718D" w:rsidRDefault="00F9718D" w:rsidP="00F9718D">
      <w:pPr>
        <w:pStyle w:val="Corpodetexto"/>
        <w:jc w:val="both"/>
        <w:rPr>
          <w:color w:val="000000"/>
          <w:sz w:val="22"/>
          <w:szCs w:val="22"/>
        </w:rPr>
      </w:pPr>
      <w:r w:rsidRPr="00F9718D">
        <w:rPr>
          <w:color w:val="000000"/>
          <w:sz w:val="22"/>
          <w:szCs w:val="22"/>
          <w:lang w:val="pt-PT"/>
        </w:rPr>
        <w:t>b) DA SECRETARIA DE GESTÃO DA SECRETARIA ESPECIAL DE DESBUROCRATIZAÇÃO, GESTÃO E GOVERNO DIGITAL DO MINISTÉRIO DA ECONOMIA PARA A SUSEP: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777"/>
        <w:gridCol w:w="1432"/>
        <w:gridCol w:w="3695"/>
      </w:tblGrid>
      <w:tr w:rsidR="00F9718D" w:rsidRPr="00F9718D" w:rsidTr="004F7E73">
        <w:trPr>
          <w:trHeight w:val="45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DA SEGES/ME PARA A SUSEP</w:t>
            </w:r>
          </w:p>
        </w:tc>
      </w:tr>
      <w:tr w:rsidR="00F9718D" w:rsidRPr="00F9718D" w:rsidTr="004F7E73">
        <w:trPr>
          <w:trHeight w:val="323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25,20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23,04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6,36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CCE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63,87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34,50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50,80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3,32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6,35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FCE 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101,79</w:t>
            </w:r>
          </w:p>
        </w:tc>
      </w:tr>
      <w:tr w:rsidR="00F9718D" w:rsidRPr="00F9718D" w:rsidTr="00F9718D">
        <w:trPr>
          <w:trHeight w:val="32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color w:val="000000"/>
                <w:sz w:val="22"/>
                <w:szCs w:val="22"/>
              </w:rPr>
              <w:t>165,66</w:t>
            </w:r>
          </w:p>
        </w:tc>
      </w:tr>
    </w:tbl>
    <w:p w:rsidR="004F7E73" w:rsidRDefault="004F7E73" w:rsidP="00F9718D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  <w:lang w:val="pt-PT"/>
        </w:rPr>
      </w:pPr>
      <w:bookmarkStart w:id="3" w:name="anexo4"/>
      <w:bookmarkEnd w:id="3"/>
    </w:p>
    <w:p w:rsidR="00F9718D" w:rsidRDefault="00F9718D" w:rsidP="00F9718D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  <w:lang w:val="pt-PT"/>
        </w:rPr>
      </w:pPr>
      <w:r w:rsidRPr="00F9718D">
        <w:rPr>
          <w:color w:val="000000"/>
          <w:sz w:val="22"/>
          <w:szCs w:val="22"/>
          <w:lang w:val="pt-PT"/>
        </w:rPr>
        <w:lastRenderedPageBreak/>
        <w:t>ANEXO IV</w:t>
      </w:r>
    </w:p>
    <w:p w:rsidR="004F7E73" w:rsidRPr="00F9718D" w:rsidRDefault="004F7E73" w:rsidP="00F9718D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9718D" w:rsidRDefault="00F9718D" w:rsidP="00F9718D">
      <w:pPr>
        <w:pStyle w:val="Corpodetexto"/>
        <w:ind w:right="302"/>
        <w:jc w:val="center"/>
        <w:rPr>
          <w:color w:val="000000"/>
          <w:sz w:val="22"/>
          <w:szCs w:val="22"/>
          <w:lang w:val="pt-PT"/>
        </w:rPr>
      </w:pPr>
      <w:r w:rsidRPr="00F9718D">
        <w:rPr>
          <w:color w:val="000000"/>
          <w:sz w:val="22"/>
          <w:szCs w:val="22"/>
          <w:lang w:val="pt-PT"/>
        </w:rPr>
        <w:t>DEMONSTRATIVO DOS CARGOS EM COMISSÃO DO GRUPO-DIREÇÃO E ASSESSORAMENTO SUPERIORES - DAS, DAS FUNÇÕES COMISSIONADAS DO PODER EXECUTIVO - FCPE E DAS FUNÇÕES GRATIFICADAS - FG, TRANSFORMADOS NOS TERMOS DO DISPOSTO NO </w:t>
      </w:r>
      <w:r w:rsidRPr="004F7E73">
        <w:rPr>
          <w:color w:val="000000"/>
          <w:sz w:val="22"/>
          <w:szCs w:val="22"/>
          <w:lang w:val="pt-PT"/>
        </w:rPr>
        <w:t>ART. 6º DA LEI Nº 14.204, DE 16 DE SETEMBRO DE 2021</w:t>
      </w:r>
    </w:p>
    <w:p w:rsidR="004F7E73" w:rsidRPr="00F9718D" w:rsidRDefault="004F7E73" w:rsidP="00F9718D">
      <w:pPr>
        <w:pStyle w:val="Corpodetexto"/>
        <w:ind w:right="302"/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2011"/>
        <w:gridCol w:w="654"/>
        <w:gridCol w:w="1541"/>
        <w:gridCol w:w="648"/>
        <w:gridCol w:w="1523"/>
        <w:gridCol w:w="648"/>
        <w:gridCol w:w="1523"/>
      </w:tblGrid>
      <w:tr w:rsidR="00F9718D" w:rsidRPr="00F9718D" w:rsidTr="004F7E73">
        <w:trPr>
          <w:trHeight w:val="646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DAS/CCE-UNITÁRIO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SITUAÇÃO ATUAL (a)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SITUAÇÃO NOVA (b)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DIFERENÇA</w:t>
            </w:r>
          </w:p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(c = b - a)</w:t>
            </w:r>
          </w:p>
        </w:tc>
      </w:tr>
      <w:tr w:rsidR="00F9718D" w:rsidRPr="00F9718D" w:rsidTr="004F7E73">
        <w:trPr>
          <w:trHeight w:val="4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18D" w:rsidRPr="00F9718D" w:rsidRDefault="00F9718D" w:rsidP="00F971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VALOR TOTAL</w:t>
            </w:r>
          </w:p>
        </w:tc>
      </w:tr>
      <w:tr w:rsidR="00F9718D" w:rsidRPr="00F9718D" w:rsidTr="00F9718D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CCE-17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6,27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CCE-15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25,20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CCE-13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23,04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CCE-10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6,36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CCE-5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-6,27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-25,20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-23,04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-23,10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-2,54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DAS-1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-4,00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3,03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34,50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57,15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3,32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2,40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0,44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0,74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0,21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FCPE-5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-3,03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FCPE-4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-32,20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FCPE-3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-44,10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FCPE-2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-1,52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-0,80</w:t>
            </w:r>
          </w:p>
        </w:tc>
      </w:tr>
      <w:tr w:rsidR="00F9718D" w:rsidRPr="00F9718D" w:rsidTr="00F9718D">
        <w:trPr>
          <w:trHeight w:val="312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165,80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165,66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718D" w:rsidRPr="00F9718D" w:rsidRDefault="00F9718D" w:rsidP="00F9718D">
            <w:pPr>
              <w:jc w:val="center"/>
              <w:rPr>
                <w:sz w:val="22"/>
                <w:szCs w:val="22"/>
              </w:rPr>
            </w:pPr>
            <w:r w:rsidRPr="00F9718D">
              <w:rPr>
                <w:sz w:val="22"/>
                <w:szCs w:val="22"/>
              </w:rPr>
              <w:t>-0,14</w:t>
            </w:r>
          </w:p>
        </w:tc>
      </w:tr>
    </w:tbl>
    <w:p w:rsidR="00F9718D" w:rsidRDefault="00F9718D" w:rsidP="00F9718D">
      <w:pPr>
        <w:pStyle w:val="Cabealho"/>
        <w:jc w:val="both"/>
        <w:rPr>
          <w:sz w:val="24"/>
          <w:szCs w:val="24"/>
        </w:rPr>
      </w:pPr>
    </w:p>
    <w:sectPr w:rsidR="00F9718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16188"/>
    <w:rsid w:val="00031082"/>
    <w:rsid w:val="00062499"/>
    <w:rsid w:val="000B15B1"/>
    <w:rsid w:val="000B41DB"/>
    <w:rsid w:val="000B6814"/>
    <w:rsid w:val="000C6F5F"/>
    <w:rsid w:val="000F31F0"/>
    <w:rsid w:val="00155ACE"/>
    <w:rsid w:val="00163775"/>
    <w:rsid w:val="00175214"/>
    <w:rsid w:val="001979D4"/>
    <w:rsid w:val="001A4BC9"/>
    <w:rsid w:val="001B2C33"/>
    <w:rsid w:val="001D1ABD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811A6"/>
    <w:rsid w:val="002B0AB7"/>
    <w:rsid w:val="002B3BBA"/>
    <w:rsid w:val="002D522D"/>
    <w:rsid w:val="002E70DF"/>
    <w:rsid w:val="003129E6"/>
    <w:rsid w:val="00314125"/>
    <w:rsid w:val="003223A1"/>
    <w:rsid w:val="003527E5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6FCF"/>
    <w:rsid w:val="003F3F69"/>
    <w:rsid w:val="0040208F"/>
    <w:rsid w:val="00405713"/>
    <w:rsid w:val="0043414B"/>
    <w:rsid w:val="00435FBD"/>
    <w:rsid w:val="00440636"/>
    <w:rsid w:val="004548EA"/>
    <w:rsid w:val="00465FB3"/>
    <w:rsid w:val="00467D99"/>
    <w:rsid w:val="00470F5F"/>
    <w:rsid w:val="00475BE4"/>
    <w:rsid w:val="004856EA"/>
    <w:rsid w:val="004A09BB"/>
    <w:rsid w:val="004B4292"/>
    <w:rsid w:val="004C3193"/>
    <w:rsid w:val="004C37B8"/>
    <w:rsid w:val="004D55FA"/>
    <w:rsid w:val="004E2F52"/>
    <w:rsid w:val="004E79A8"/>
    <w:rsid w:val="004F7E73"/>
    <w:rsid w:val="00502BA4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C778C"/>
    <w:rsid w:val="007D7D15"/>
    <w:rsid w:val="007E0856"/>
    <w:rsid w:val="007E79C2"/>
    <w:rsid w:val="007F111E"/>
    <w:rsid w:val="008119B6"/>
    <w:rsid w:val="00817939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772F8"/>
    <w:rsid w:val="00883AFE"/>
    <w:rsid w:val="008C2B4D"/>
    <w:rsid w:val="008C5F6B"/>
    <w:rsid w:val="008D039C"/>
    <w:rsid w:val="008E4285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56CA"/>
    <w:rsid w:val="00B26368"/>
    <w:rsid w:val="00B40BA8"/>
    <w:rsid w:val="00B435AF"/>
    <w:rsid w:val="00B44891"/>
    <w:rsid w:val="00B52DF8"/>
    <w:rsid w:val="00B56F21"/>
    <w:rsid w:val="00B72706"/>
    <w:rsid w:val="00B821AF"/>
    <w:rsid w:val="00B84B6F"/>
    <w:rsid w:val="00B8513F"/>
    <w:rsid w:val="00B92350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82C5B"/>
    <w:rsid w:val="00C9415E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5339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9718D"/>
    <w:rsid w:val="00FA29E2"/>
    <w:rsid w:val="00FC1891"/>
    <w:rsid w:val="00FD1029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F9718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718D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paragraph"/>
    <w:basedOn w:val="Normal"/>
    <w:rsid w:val="00F971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616-8-setembro-2025-797944-publicacaooriginal-176352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801-26-dezembro-2025-798603-anexo-p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2511</Words>
  <Characters>13561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16040</CharactersWithSpaces>
  <SharedDoc>false</SharedDoc>
  <HLinks>
    <vt:vector size="6" baseType="variant"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https://www2.camara.leg.br/legin/fed/decret/2025/decreto-12616-8-setembro-2025-797944-publicacaooriginal-176352-pe.html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6</cp:revision>
  <cp:lastPrinted>2009-10-20T17:50:00Z</cp:lastPrinted>
  <dcterms:created xsi:type="dcterms:W3CDTF">2025-11-21T15:15:00Z</dcterms:created>
  <dcterms:modified xsi:type="dcterms:W3CDTF">2025-12-30T12:25:00Z</dcterms:modified>
</cp:coreProperties>
</file>