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99D" w:rsidRDefault="0047199D">
      <w:pPr>
        <w:pStyle w:val="Cabealho"/>
        <w:jc w:val="both"/>
      </w:pPr>
    </w:p>
    <w:p w:rsidR="0047199D" w:rsidRDefault="00550749">
      <w:pPr>
        <w:pStyle w:val="Cabealho"/>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4pt;width:50.4pt;height:47.85pt;z-index:251657728" o:allowincell="f">
            <v:imagedata r:id="rId7" o:title=""/>
            <w10:wrap type="square"/>
          </v:shape>
          <o:OLEObject Type="Embed" ProgID="PBrush" ShapeID="_x0000_s1026" DrawAspect="Content" ObjectID="_1832486221" r:id="rId8"/>
        </w:pict>
      </w:r>
    </w:p>
    <w:p w:rsidR="0047199D" w:rsidRDefault="0047199D">
      <w:pPr>
        <w:pStyle w:val="Cabealho"/>
        <w:jc w:val="center"/>
        <w:rPr>
          <w:sz w:val="24"/>
        </w:rPr>
      </w:pPr>
    </w:p>
    <w:p w:rsidR="0047199D" w:rsidRDefault="0047199D">
      <w:pPr>
        <w:pStyle w:val="Cabealho"/>
        <w:jc w:val="center"/>
        <w:rPr>
          <w:b/>
          <w:sz w:val="24"/>
        </w:rPr>
      </w:pPr>
    </w:p>
    <w:p w:rsidR="0047199D" w:rsidRDefault="0047199D">
      <w:pPr>
        <w:pStyle w:val="Cabealho"/>
        <w:jc w:val="center"/>
        <w:rPr>
          <w:sz w:val="24"/>
        </w:rPr>
      </w:pPr>
    </w:p>
    <w:p w:rsidR="0047199D" w:rsidRDefault="0047199D">
      <w:pPr>
        <w:pStyle w:val="Ttulo1"/>
        <w:rPr>
          <w:sz w:val="20"/>
        </w:rPr>
      </w:pPr>
      <w:r>
        <w:rPr>
          <w:sz w:val="20"/>
        </w:rPr>
        <w:t>CÂMARA DOS DEPUTADOS</w:t>
      </w:r>
    </w:p>
    <w:p w:rsidR="0047199D" w:rsidRDefault="0047199D">
      <w:pPr>
        <w:pStyle w:val="Ttulo1"/>
        <w:rPr>
          <w:b w:val="0"/>
          <w:sz w:val="20"/>
        </w:rPr>
      </w:pPr>
      <w:r>
        <w:rPr>
          <w:b w:val="0"/>
          <w:sz w:val="20"/>
        </w:rPr>
        <w:t>Centro de Documentação e Informação</w:t>
      </w:r>
    </w:p>
    <w:p w:rsidR="0047199D" w:rsidRDefault="0047199D">
      <w:pPr>
        <w:rPr>
          <w:sz w:val="24"/>
        </w:rPr>
      </w:pPr>
    </w:p>
    <w:p w:rsidR="0047199D" w:rsidRDefault="0047199D">
      <w:pPr>
        <w:rPr>
          <w:sz w:val="24"/>
        </w:rPr>
      </w:pPr>
    </w:p>
    <w:p w:rsidR="0047199D" w:rsidRDefault="0047199D">
      <w:pPr>
        <w:pStyle w:val="Ttulo1"/>
        <w:rPr>
          <w:caps/>
        </w:rPr>
      </w:pPr>
      <w:r>
        <w:rPr>
          <w:caps/>
        </w:rPr>
        <w:t xml:space="preserve">Decreto nº 1, de 11 de Janeiro de </w:t>
      </w:r>
      <w:proofErr w:type="gramStart"/>
      <w:r>
        <w:rPr>
          <w:caps/>
        </w:rPr>
        <w:t>1991</w:t>
      </w:r>
      <w:proofErr w:type="gramEnd"/>
    </w:p>
    <w:p w:rsidR="0047199D" w:rsidRDefault="0047199D">
      <w:pPr>
        <w:rPr>
          <w:sz w:val="24"/>
        </w:rPr>
      </w:pPr>
    </w:p>
    <w:p w:rsidR="0047199D" w:rsidRDefault="0047199D">
      <w:pPr>
        <w:rPr>
          <w:sz w:val="24"/>
        </w:rPr>
      </w:pPr>
    </w:p>
    <w:p w:rsidR="0047199D" w:rsidRDefault="0047199D">
      <w:pPr>
        <w:pStyle w:val="Recuodecorpodetexto2"/>
      </w:pPr>
      <w:r>
        <w:t>Regulamenta o pagamento da compensação financeira instituída pela Lei nº 7.990, de 28 de dezembro de 1989, e dá outras providências.</w:t>
      </w:r>
    </w:p>
    <w:p w:rsidR="0047199D" w:rsidRDefault="0047199D">
      <w:pPr>
        <w:rPr>
          <w:sz w:val="24"/>
        </w:rPr>
      </w:pPr>
    </w:p>
    <w:p w:rsidR="0047199D" w:rsidRDefault="0047199D">
      <w:pPr>
        <w:rPr>
          <w:sz w:val="24"/>
        </w:rPr>
      </w:pPr>
    </w:p>
    <w:p w:rsidR="0047199D" w:rsidRDefault="0047199D">
      <w:pPr>
        <w:pStyle w:val="Recuodecorpodetexto"/>
      </w:pPr>
      <w:r>
        <w:t xml:space="preserve">O PRESIDENTE DA REPÚBLICA, no uso da atribuição que lhe confere o art. 84, inciso IV, da Constituição, e tendo em vista o disposto nas Leis </w:t>
      </w:r>
      <w:proofErr w:type="spellStart"/>
      <w:r>
        <w:t>nºs</w:t>
      </w:r>
      <w:proofErr w:type="spellEnd"/>
      <w:r>
        <w:t xml:space="preserve"> 7.990, de 28 de dezembro de 1989, e 8.001, de 13 de março de 1990, bem assim nas Leis </w:t>
      </w:r>
      <w:proofErr w:type="spellStart"/>
      <w:r>
        <w:t>nºs</w:t>
      </w:r>
      <w:proofErr w:type="spellEnd"/>
      <w:r>
        <w:t xml:space="preserve"> 2.004, de </w:t>
      </w:r>
      <w:proofErr w:type="gramStart"/>
      <w:r>
        <w:t>3</w:t>
      </w:r>
      <w:proofErr w:type="gramEnd"/>
      <w:r>
        <w:t xml:space="preserve"> de outubro de 1953, 7.453, de 27 de dezembro de 1985, e 7.525, de 22 de julho de 1986, e suas alterações, </w:t>
      </w:r>
    </w:p>
    <w:p w:rsidR="0047199D" w:rsidRDefault="0047199D">
      <w:pPr>
        <w:rPr>
          <w:sz w:val="24"/>
        </w:rPr>
      </w:pPr>
    </w:p>
    <w:p w:rsidR="0047199D" w:rsidRDefault="0047199D">
      <w:pPr>
        <w:pStyle w:val="Recuodecorpodetexto"/>
      </w:pPr>
      <w:r>
        <w:t xml:space="preserve">DECRETA: </w:t>
      </w:r>
    </w:p>
    <w:p w:rsidR="0047199D" w:rsidRDefault="0047199D">
      <w:pPr>
        <w:rPr>
          <w:sz w:val="24"/>
        </w:rPr>
      </w:pPr>
    </w:p>
    <w:p w:rsidR="0047199D" w:rsidRDefault="0047199D">
      <w:pPr>
        <w:jc w:val="center"/>
        <w:rPr>
          <w:caps/>
          <w:sz w:val="24"/>
        </w:rPr>
      </w:pPr>
      <w:r>
        <w:rPr>
          <w:caps/>
          <w:sz w:val="24"/>
        </w:rPr>
        <w:t>CAPÍTULO I</w:t>
      </w:r>
    </w:p>
    <w:p w:rsidR="0047199D" w:rsidRDefault="0047199D">
      <w:pPr>
        <w:jc w:val="center"/>
        <w:rPr>
          <w:caps/>
          <w:sz w:val="24"/>
        </w:rPr>
      </w:pPr>
      <w:r>
        <w:rPr>
          <w:caps/>
          <w:sz w:val="24"/>
        </w:rPr>
        <w:t>Disposição Preliminar</w:t>
      </w:r>
    </w:p>
    <w:p w:rsidR="0047199D" w:rsidRDefault="0047199D">
      <w:pPr>
        <w:rPr>
          <w:sz w:val="24"/>
        </w:rPr>
      </w:pPr>
    </w:p>
    <w:p w:rsidR="0047199D" w:rsidRDefault="0047199D">
      <w:pPr>
        <w:pStyle w:val="Recuodecorpodetexto"/>
      </w:pPr>
      <w:r>
        <w:t xml:space="preserve">Art. 1º O cálculo e a distribuição mensal da compensação financeira decorrente do aproveitamento de recursos hídricos, para fins de geração de energia elétrica e dos recursos minerais, por quaisquer dos regimes previstos em lei, bem assim dos </w:t>
      </w:r>
      <w:r w:rsidR="00CD7BAA" w:rsidRPr="00CD7BAA">
        <w:rPr>
          <w:i/>
        </w:rPr>
        <w:t>royalties</w:t>
      </w:r>
      <w:r>
        <w:t xml:space="preserve"> devidos pela Itaipu Binacional ao Governo Brasileiro, estabelecidos pelo Tratado de Itaipu, seus anexos e documentos interpretativos </w:t>
      </w:r>
      <w:proofErr w:type="spellStart"/>
      <w:r>
        <w:t>subseqüentes</w:t>
      </w:r>
      <w:proofErr w:type="spellEnd"/>
      <w:r>
        <w:t xml:space="preserve">, de que tratam as Leis </w:t>
      </w:r>
      <w:proofErr w:type="spellStart"/>
      <w:r>
        <w:t>nºs</w:t>
      </w:r>
      <w:proofErr w:type="spellEnd"/>
      <w:r>
        <w:t xml:space="preserve"> 7.990, de 1989, e 8.001, de 1990, reger-se-ão pelo disposto neste decreto. </w:t>
      </w:r>
    </w:p>
    <w:p w:rsidR="0047199D" w:rsidRDefault="0047199D">
      <w:pPr>
        <w:rPr>
          <w:sz w:val="24"/>
        </w:rPr>
      </w:pPr>
    </w:p>
    <w:p w:rsidR="0047199D" w:rsidRDefault="0047199D">
      <w:pPr>
        <w:jc w:val="center"/>
        <w:rPr>
          <w:caps/>
          <w:sz w:val="24"/>
        </w:rPr>
      </w:pPr>
      <w:r>
        <w:rPr>
          <w:caps/>
          <w:sz w:val="24"/>
        </w:rPr>
        <w:t>CAPÍTULO II</w:t>
      </w:r>
    </w:p>
    <w:p w:rsidR="0047199D" w:rsidRDefault="0047199D">
      <w:pPr>
        <w:jc w:val="center"/>
        <w:rPr>
          <w:caps/>
          <w:sz w:val="24"/>
        </w:rPr>
      </w:pPr>
      <w:r>
        <w:rPr>
          <w:caps/>
          <w:sz w:val="24"/>
        </w:rPr>
        <w:t>Da Compensação Financeira pela Utilização de Recursos Hídricos</w:t>
      </w:r>
    </w:p>
    <w:p w:rsidR="0047199D" w:rsidRDefault="0047199D">
      <w:pPr>
        <w:rPr>
          <w:sz w:val="24"/>
        </w:rPr>
      </w:pPr>
    </w:p>
    <w:p w:rsidR="0047199D" w:rsidRDefault="0047199D" w:rsidP="000146A2">
      <w:pPr>
        <w:pStyle w:val="Corpodetexto2"/>
        <w:ind w:firstLine="1134"/>
        <w:jc w:val="both"/>
      </w:pPr>
      <w:proofErr w:type="spellStart"/>
      <w:r>
        <w:t>Art</w:t>
      </w:r>
      <w:r w:rsidR="000146A2">
        <w:t>s</w:t>
      </w:r>
      <w:proofErr w:type="spellEnd"/>
      <w:r>
        <w:t>.</w:t>
      </w:r>
      <w:r w:rsidR="000146A2">
        <w:t xml:space="preserve"> 2 a 12. </w:t>
      </w:r>
      <w:hyperlink r:id="rId9" w:history="1">
        <w:r w:rsidR="000146A2" w:rsidRPr="000146A2">
          <w:rPr>
            <w:rStyle w:val="Hyperlink"/>
            <w:i/>
          </w:rPr>
          <w:t>(Revogados pelo Decreto nº 3.739, de 31/1/</w:t>
        </w:r>
        <w:r w:rsidR="00917E74">
          <w:rPr>
            <w:rStyle w:val="Hyperlink"/>
            <w:i/>
          </w:rPr>
          <w:t>200</w:t>
        </w:r>
        <w:r w:rsidR="000146A2">
          <w:rPr>
            <w:rStyle w:val="Hyperlink"/>
            <w:i/>
          </w:rPr>
          <w:t>1</w:t>
        </w:r>
        <w:r w:rsidR="000146A2" w:rsidRPr="000146A2">
          <w:rPr>
            <w:rStyle w:val="Hyperlink"/>
            <w:i/>
          </w:rPr>
          <w:t>)</w:t>
        </w:r>
        <w:proofErr w:type="gramStart"/>
      </w:hyperlink>
      <w:proofErr w:type="gramEnd"/>
      <w:r w:rsidR="000146A2">
        <w:t xml:space="preserve"> </w:t>
      </w:r>
    </w:p>
    <w:p w:rsidR="000146A2" w:rsidRDefault="000146A2">
      <w:pPr>
        <w:jc w:val="center"/>
        <w:rPr>
          <w:caps/>
          <w:sz w:val="24"/>
        </w:rPr>
      </w:pPr>
    </w:p>
    <w:p w:rsidR="0047199D" w:rsidRDefault="0047199D">
      <w:pPr>
        <w:jc w:val="center"/>
        <w:rPr>
          <w:caps/>
          <w:sz w:val="24"/>
        </w:rPr>
      </w:pPr>
      <w:r>
        <w:rPr>
          <w:caps/>
          <w:sz w:val="24"/>
        </w:rPr>
        <w:t>CAPÍTULO III</w:t>
      </w:r>
    </w:p>
    <w:p w:rsidR="0047199D" w:rsidRDefault="0047199D">
      <w:pPr>
        <w:jc w:val="center"/>
        <w:rPr>
          <w:caps/>
          <w:sz w:val="24"/>
        </w:rPr>
      </w:pPr>
      <w:r>
        <w:rPr>
          <w:caps/>
          <w:sz w:val="24"/>
        </w:rPr>
        <w:t>Da Compensação Financeira pela Exploração de Recursos Minerais</w:t>
      </w:r>
    </w:p>
    <w:p w:rsidR="0047199D" w:rsidRDefault="0047199D">
      <w:pPr>
        <w:rPr>
          <w:sz w:val="24"/>
        </w:rPr>
      </w:pPr>
    </w:p>
    <w:p w:rsidR="0047199D" w:rsidRDefault="0047199D">
      <w:pPr>
        <w:pStyle w:val="Recuodecorpodetexto"/>
      </w:pPr>
      <w:r>
        <w:t xml:space="preserve">Art. 13. A compensação financeira devida pelos detentores de direitos minerários a qualquer título, em decorrência da exploração de recursos minerais para fins de aproveitamento econômico, será de até 3% (três por cento) sobre o valor do faturamento líquido resultante da venda do produto mineral, obtido após a última etapa do processo de beneficiamento adotado e antes de sua transformação industrial. </w:t>
      </w:r>
    </w:p>
    <w:p w:rsidR="0047199D" w:rsidRDefault="0047199D">
      <w:pPr>
        <w:pStyle w:val="Recuodecorpodetexto"/>
      </w:pPr>
      <w:r>
        <w:lastRenderedPageBreak/>
        <w:t xml:space="preserve">§ 1º O percentual da compensação, de acordo com as classes de substâncias minerais, será de: </w:t>
      </w:r>
    </w:p>
    <w:p w:rsidR="0047199D" w:rsidRDefault="0047199D">
      <w:pPr>
        <w:ind w:firstLine="1134"/>
        <w:jc w:val="both"/>
        <w:rPr>
          <w:sz w:val="24"/>
        </w:rPr>
      </w:pPr>
      <w:r>
        <w:rPr>
          <w:sz w:val="24"/>
        </w:rPr>
        <w:t xml:space="preserve">I - minério de alumínio, manganês, sal-gema e potássio: 3% (três por cento); </w:t>
      </w:r>
    </w:p>
    <w:p w:rsidR="0047199D" w:rsidRDefault="0047199D">
      <w:pPr>
        <w:ind w:firstLine="1134"/>
        <w:jc w:val="both"/>
        <w:rPr>
          <w:sz w:val="24"/>
        </w:rPr>
      </w:pPr>
      <w:r>
        <w:rPr>
          <w:sz w:val="24"/>
        </w:rPr>
        <w:t xml:space="preserve">II - ferro, fertilizante, carvão e demais substâncias minerais: 2% (dois por cento), ressalvado o disposto no inciso IV deste artigo; </w:t>
      </w:r>
    </w:p>
    <w:p w:rsidR="0047199D" w:rsidRDefault="0047199D">
      <w:pPr>
        <w:ind w:firstLine="1134"/>
        <w:jc w:val="both"/>
        <w:rPr>
          <w:sz w:val="24"/>
        </w:rPr>
      </w:pPr>
      <w:r>
        <w:rPr>
          <w:sz w:val="24"/>
        </w:rPr>
        <w:t xml:space="preserve">III - pedras preciosas, pedras coradas lapidáveis, carbonados e metais nobres: 0,2% (dois décimos por cento); </w:t>
      </w:r>
    </w:p>
    <w:p w:rsidR="0047199D" w:rsidRDefault="0047199D">
      <w:pPr>
        <w:ind w:firstLine="1134"/>
        <w:jc w:val="both"/>
        <w:rPr>
          <w:sz w:val="24"/>
        </w:rPr>
      </w:pPr>
      <w:r>
        <w:rPr>
          <w:sz w:val="24"/>
        </w:rPr>
        <w:t xml:space="preserve">IV - ouro: 1% (um por cento), quando extraído por empresas mineradoras, isentos os garimpeiros. </w:t>
      </w:r>
    </w:p>
    <w:p w:rsidR="0047199D" w:rsidRDefault="0047199D">
      <w:pPr>
        <w:ind w:firstLine="1134"/>
        <w:jc w:val="both"/>
        <w:rPr>
          <w:sz w:val="24"/>
        </w:rPr>
      </w:pPr>
      <w:r>
        <w:rPr>
          <w:sz w:val="24"/>
        </w:rPr>
        <w:t xml:space="preserve">§ 2º A distribuição da compensação financeira de que trata este artigo será feita da seguinte forma: </w:t>
      </w:r>
    </w:p>
    <w:p w:rsidR="0047199D" w:rsidRDefault="0047199D">
      <w:pPr>
        <w:ind w:firstLine="1134"/>
        <w:jc w:val="both"/>
        <w:rPr>
          <w:sz w:val="24"/>
        </w:rPr>
      </w:pPr>
      <w:r>
        <w:rPr>
          <w:sz w:val="24"/>
        </w:rPr>
        <w:t xml:space="preserve">I - 23% (vinte e três por cento) para os Estados e o Distrito Federal; </w:t>
      </w:r>
    </w:p>
    <w:p w:rsidR="0047199D" w:rsidRDefault="0047199D">
      <w:pPr>
        <w:ind w:firstLine="1134"/>
        <w:jc w:val="both"/>
        <w:rPr>
          <w:sz w:val="24"/>
        </w:rPr>
      </w:pPr>
      <w:r>
        <w:rPr>
          <w:sz w:val="24"/>
        </w:rPr>
        <w:t xml:space="preserve">II - 65% (sessenta e cinco por cento) para os Municípios; </w:t>
      </w:r>
    </w:p>
    <w:p w:rsidR="0047199D" w:rsidRDefault="0047199D">
      <w:pPr>
        <w:ind w:firstLine="1134"/>
        <w:jc w:val="both"/>
        <w:rPr>
          <w:sz w:val="24"/>
        </w:rPr>
      </w:pPr>
      <w:r>
        <w:rPr>
          <w:sz w:val="24"/>
        </w:rPr>
        <w:t>III - 12% (doze por cento) para o Departamento Nacional da Produção Mineral (DNPM), que destinará 2% (dois por cento) à proteção ambiental nas regiões mineradoras, por intermédio do Instituto Brasileiro do Meio Ambiente e dos Recursos Naturais Renováveis (</w:t>
      </w:r>
      <w:proofErr w:type="gramStart"/>
      <w:r>
        <w:rPr>
          <w:sz w:val="24"/>
        </w:rPr>
        <w:t>Ibama</w:t>
      </w:r>
      <w:proofErr w:type="gramEnd"/>
      <w:r>
        <w:rPr>
          <w:sz w:val="24"/>
        </w:rPr>
        <w:t xml:space="preserve">), ou de outro órgão federal competente, que o substituir. </w:t>
      </w:r>
    </w:p>
    <w:p w:rsidR="0047199D" w:rsidRDefault="0047199D">
      <w:pPr>
        <w:ind w:firstLine="1134"/>
        <w:jc w:val="both"/>
        <w:rPr>
          <w:sz w:val="24"/>
        </w:rPr>
      </w:pPr>
      <w:r>
        <w:rPr>
          <w:sz w:val="24"/>
        </w:rPr>
        <w:t>§ 3º O valor resultante da aplicação do percentual da compensação financeira será considerado, em função da classe e substâ</w:t>
      </w:r>
      <w:r w:rsidR="00245E95">
        <w:rPr>
          <w:sz w:val="24"/>
        </w:rPr>
        <w:t>n</w:t>
      </w:r>
      <w:r>
        <w:rPr>
          <w:sz w:val="24"/>
        </w:rPr>
        <w:t xml:space="preserve">cia mineral, na estrutura de custos, sempre que os preços forem administrados pelo Governo. </w:t>
      </w:r>
    </w:p>
    <w:p w:rsidR="0047199D" w:rsidRDefault="0047199D">
      <w:pPr>
        <w:ind w:firstLine="1134"/>
        <w:jc w:val="both"/>
        <w:rPr>
          <w:sz w:val="24"/>
        </w:rPr>
      </w:pPr>
      <w:r>
        <w:rPr>
          <w:sz w:val="24"/>
        </w:rPr>
        <w:t>§ 4º No caso das substâ</w:t>
      </w:r>
      <w:r w:rsidR="00245E95">
        <w:rPr>
          <w:sz w:val="24"/>
        </w:rPr>
        <w:t>n</w:t>
      </w:r>
      <w:r>
        <w:rPr>
          <w:sz w:val="24"/>
        </w:rPr>
        <w:t xml:space="preserve">cias minerais extraídas sob o regime de permissão da lavra garimpeira, o valor da compensação será pago pelo primeiro adquirente. </w:t>
      </w:r>
    </w:p>
    <w:p w:rsidR="0047199D" w:rsidRDefault="0047199D">
      <w:pPr>
        <w:ind w:firstLine="1134"/>
        <w:rPr>
          <w:sz w:val="24"/>
        </w:rPr>
      </w:pPr>
    </w:p>
    <w:p w:rsidR="0047199D" w:rsidRDefault="0047199D">
      <w:pPr>
        <w:ind w:firstLine="1134"/>
        <w:jc w:val="both"/>
        <w:rPr>
          <w:sz w:val="24"/>
        </w:rPr>
      </w:pPr>
      <w:r>
        <w:rPr>
          <w:sz w:val="24"/>
        </w:rPr>
        <w:t xml:space="preserve">Art. 14. Para efeito do disposto no artigo anterior, considera-se: </w:t>
      </w:r>
    </w:p>
    <w:p w:rsidR="0047199D" w:rsidRDefault="0047199D">
      <w:pPr>
        <w:ind w:firstLine="1134"/>
        <w:jc w:val="both"/>
        <w:rPr>
          <w:sz w:val="24"/>
        </w:rPr>
      </w:pPr>
      <w:r>
        <w:rPr>
          <w:sz w:val="24"/>
        </w:rPr>
        <w:t xml:space="preserve">I - atividade de exploração de recursos minerais, a retirada de substâncias minerais da jazida, mina, salina ou outro depósito mineral para fins de aproveitamento econômico; </w:t>
      </w:r>
    </w:p>
    <w:p w:rsidR="0047199D" w:rsidRDefault="0047199D">
      <w:pPr>
        <w:ind w:firstLine="1134"/>
        <w:jc w:val="both"/>
        <w:rPr>
          <w:sz w:val="24"/>
        </w:rPr>
      </w:pPr>
      <w:r>
        <w:rPr>
          <w:sz w:val="24"/>
        </w:rPr>
        <w:t xml:space="preserve">II - faturamento líquido, o total das receitas de vendas excluídos os tributos incidentes sobre a comercialização do produto mineral, as despesas de transporte e as de seguro; </w:t>
      </w:r>
    </w:p>
    <w:p w:rsidR="0047199D" w:rsidRDefault="0047199D">
      <w:pPr>
        <w:ind w:firstLine="1134"/>
        <w:jc w:val="both"/>
        <w:rPr>
          <w:sz w:val="24"/>
        </w:rPr>
      </w:pPr>
      <w:r>
        <w:rPr>
          <w:sz w:val="24"/>
        </w:rPr>
        <w:t xml:space="preserve">III - processo de beneficiamento, aquele realizado por fragmentação, pulverização, classificação, concentração, separação magnética, flotação, homogeneização, aglomeração ou aglutinação, briquetagem, nodulação, sinterização, </w:t>
      </w:r>
      <w:proofErr w:type="spellStart"/>
      <w:r>
        <w:rPr>
          <w:sz w:val="24"/>
        </w:rPr>
        <w:t>pelotização</w:t>
      </w:r>
      <w:proofErr w:type="spellEnd"/>
      <w:r>
        <w:rPr>
          <w:sz w:val="24"/>
        </w:rPr>
        <w:t xml:space="preserve">, ativação, </w:t>
      </w:r>
      <w:proofErr w:type="spellStart"/>
      <w:r>
        <w:rPr>
          <w:sz w:val="24"/>
        </w:rPr>
        <w:t>coqueificação</w:t>
      </w:r>
      <w:proofErr w:type="spellEnd"/>
      <w:r>
        <w:rPr>
          <w:sz w:val="24"/>
        </w:rPr>
        <w:t xml:space="preserve">, calcinação, desaguamento, inclusive secagem, desidratação, filtragem, </w:t>
      </w:r>
      <w:proofErr w:type="spellStart"/>
      <w:r>
        <w:rPr>
          <w:sz w:val="24"/>
        </w:rPr>
        <w:t>levigação</w:t>
      </w:r>
      <w:proofErr w:type="spellEnd"/>
      <w:r>
        <w:rPr>
          <w:sz w:val="24"/>
        </w:rPr>
        <w:t xml:space="preserve">, bem como qualquer outro processo de beneficiamento, ainda que exija adição ou retirada de outras substâncias, desde que não resulte na descaracterização mineralógica das substâncias minerais processadas ou que não impliquem na sua inclusão no campo de incidência do Imposto sobre Produtos Industrializados - IPI. </w:t>
      </w:r>
    </w:p>
    <w:p w:rsidR="0047199D" w:rsidRDefault="0047199D">
      <w:pPr>
        <w:ind w:firstLine="1134"/>
        <w:jc w:val="both"/>
        <w:rPr>
          <w:sz w:val="24"/>
        </w:rPr>
      </w:pPr>
      <w:r>
        <w:rPr>
          <w:sz w:val="24"/>
        </w:rPr>
        <w:t xml:space="preserve">§ 1º No caso de substância mineral consumida, transformada ou utilizada pelo próprio titular dos direitos minerários ou remetida a outro estabelecimento do mesmo titular, será considerado faturamento líquido o valor de consumo na ocorrência do fato gerador definido no art. 15 deste decreto. </w:t>
      </w:r>
    </w:p>
    <w:p w:rsidR="0047199D" w:rsidRDefault="0047199D">
      <w:pPr>
        <w:ind w:firstLine="1134"/>
        <w:jc w:val="both"/>
        <w:rPr>
          <w:sz w:val="24"/>
        </w:rPr>
      </w:pPr>
      <w:r>
        <w:rPr>
          <w:sz w:val="24"/>
        </w:rPr>
        <w:t xml:space="preserve">§ 2º As despesas de transporte compreendem as pagas ou incorridas pelo titular do direito minerário com a substância mineral. </w:t>
      </w:r>
    </w:p>
    <w:p w:rsidR="0047199D" w:rsidRDefault="0047199D">
      <w:pPr>
        <w:ind w:firstLine="1134"/>
        <w:jc w:val="both"/>
        <w:rPr>
          <w:sz w:val="24"/>
        </w:rPr>
      </w:pPr>
    </w:p>
    <w:p w:rsidR="0047199D" w:rsidRDefault="0047199D">
      <w:pPr>
        <w:ind w:firstLine="1134"/>
        <w:jc w:val="both"/>
        <w:rPr>
          <w:sz w:val="24"/>
        </w:rPr>
      </w:pPr>
      <w:r>
        <w:rPr>
          <w:sz w:val="24"/>
        </w:rPr>
        <w:t xml:space="preserve">Art. 15. Constitui fato gerador da compensação financeira devida pela exploração de recursos minerais a saída por venda do produto mineral das áreas da jazida, mina, salina ou de outros depósitos minerais de onde provêm, ou o de quaisquer estabelecimentos, sempre após a última etapa do processo de beneficiamento adotado e antes de sua transformação industrial. </w:t>
      </w:r>
    </w:p>
    <w:p w:rsidR="0047199D" w:rsidRDefault="0047199D">
      <w:pPr>
        <w:pStyle w:val="Corpodetexto2"/>
        <w:ind w:firstLine="1134"/>
        <w:jc w:val="both"/>
      </w:pPr>
      <w:r>
        <w:lastRenderedPageBreak/>
        <w:t xml:space="preserve">Parágrafo único. Equipara-se à saída por venda o consumo ou a utilização da substância mineral em processo de industrialização realizado dentro das áreas da jazida, mina, salina ou outros depósitos minerais, suas áreas limítrofes ou ainda em qualquer estabelecimento. </w:t>
      </w:r>
    </w:p>
    <w:p w:rsidR="0047199D" w:rsidRDefault="0047199D">
      <w:pPr>
        <w:jc w:val="both"/>
        <w:rPr>
          <w:sz w:val="24"/>
        </w:rPr>
      </w:pPr>
    </w:p>
    <w:p w:rsidR="0047199D" w:rsidRDefault="0047199D">
      <w:pPr>
        <w:ind w:firstLine="1134"/>
        <w:jc w:val="both"/>
        <w:rPr>
          <w:sz w:val="24"/>
        </w:rPr>
      </w:pPr>
      <w:r>
        <w:rPr>
          <w:sz w:val="24"/>
        </w:rPr>
        <w:t xml:space="preserve">Art. 16. A compensação financeira pela exploração de substâncias minerais será lançada mensalmente pelo devedor. </w:t>
      </w:r>
    </w:p>
    <w:p w:rsidR="0047199D" w:rsidRDefault="0047199D">
      <w:pPr>
        <w:pStyle w:val="Corpodetexto2"/>
        <w:ind w:firstLine="1134"/>
        <w:jc w:val="both"/>
      </w:pPr>
      <w:r>
        <w:t xml:space="preserve">Parágrafo único. O lançamento será efetuado em documento próprio, que conterá a descrição da operação que lhe deu origem, o produto a que se referir o respectivo cálculo, em parcelas destacadas, e a descriminação dos tributos incidentes, das despesas de transporte e de seguro, de forma a tornar possível suas corretas identificações. </w:t>
      </w:r>
    </w:p>
    <w:p w:rsidR="0047199D" w:rsidRDefault="0047199D">
      <w:pPr>
        <w:rPr>
          <w:sz w:val="24"/>
        </w:rPr>
      </w:pPr>
    </w:p>
    <w:p w:rsidR="0047199D" w:rsidRDefault="0047199D">
      <w:pPr>
        <w:jc w:val="center"/>
        <w:rPr>
          <w:caps/>
          <w:sz w:val="24"/>
        </w:rPr>
      </w:pPr>
      <w:r>
        <w:rPr>
          <w:caps/>
          <w:sz w:val="24"/>
        </w:rPr>
        <w:t>CAPÍTULO IV</w:t>
      </w:r>
    </w:p>
    <w:p w:rsidR="0047199D" w:rsidRDefault="0047199D">
      <w:pPr>
        <w:jc w:val="center"/>
        <w:rPr>
          <w:caps/>
          <w:sz w:val="24"/>
        </w:rPr>
      </w:pPr>
      <w:r>
        <w:rPr>
          <w:caps/>
          <w:sz w:val="24"/>
        </w:rPr>
        <w:t xml:space="preserve">Da Compensação Financeira pela Exploração do Petróleo, do Xisto Betuminoso e do Gás </w:t>
      </w:r>
      <w:proofErr w:type="gramStart"/>
      <w:r>
        <w:rPr>
          <w:caps/>
          <w:sz w:val="24"/>
        </w:rPr>
        <w:t>Natural</w:t>
      </w:r>
      <w:proofErr w:type="gramEnd"/>
    </w:p>
    <w:p w:rsidR="0047199D" w:rsidRDefault="0047199D">
      <w:pPr>
        <w:rPr>
          <w:sz w:val="24"/>
        </w:rPr>
      </w:pPr>
    </w:p>
    <w:p w:rsidR="0047199D" w:rsidRDefault="0047199D">
      <w:pPr>
        <w:ind w:firstLine="1134"/>
        <w:jc w:val="both"/>
        <w:rPr>
          <w:sz w:val="24"/>
        </w:rPr>
      </w:pPr>
      <w:r>
        <w:rPr>
          <w:sz w:val="24"/>
        </w:rPr>
        <w:t xml:space="preserve">Art. 17. A compensação financeira devida </w:t>
      </w:r>
      <w:proofErr w:type="gramStart"/>
      <w:r>
        <w:rPr>
          <w:sz w:val="24"/>
        </w:rPr>
        <w:t>pela Petróleo</w:t>
      </w:r>
      <w:proofErr w:type="gramEnd"/>
      <w:r>
        <w:rPr>
          <w:sz w:val="24"/>
        </w:rPr>
        <w:t xml:space="preserve"> Brasileiro S.A. (Petrobrás) e suas subsidiárias aos Estados, Distrito Federal e Municípios, correspondente a 5% (cinco por cento) sobre o valor do óleo bruto, do xisto betuminoso e do gás natural extraídos de seus respectivos territórios, onde se fixar a lavra do petróleo ou se localizarem instalações marítimas ou terrestres de embarque ou desembarque de óleo bruto ou de gás natural, operados pela Petrobrás, será paga nos seguintes percentuais: </w:t>
      </w:r>
    </w:p>
    <w:p w:rsidR="0047199D" w:rsidRDefault="0047199D">
      <w:pPr>
        <w:ind w:firstLine="1134"/>
        <w:jc w:val="both"/>
        <w:rPr>
          <w:sz w:val="24"/>
        </w:rPr>
      </w:pPr>
      <w:r>
        <w:rPr>
          <w:sz w:val="24"/>
        </w:rPr>
        <w:t xml:space="preserve">I - 3,5% (três e meio por cento) aos Estados produtores; </w:t>
      </w:r>
    </w:p>
    <w:p w:rsidR="0047199D" w:rsidRDefault="0047199D">
      <w:pPr>
        <w:ind w:firstLine="1134"/>
        <w:jc w:val="both"/>
        <w:rPr>
          <w:sz w:val="24"/>
        </w:rPr>
      </w:pPr>
      <w:r>
        <w:rPr>
          <w:sz w:val="24"/>
        </w:rPr>
        <w:t xml:space="preserve">II - 1,0% (um por cento) aos Municípios produtores; </w:t>
      </w:r>
    </w:p>
    <w:p w:rsidR="0047199D" w:rsidRDefault="0047199D">
      <w:pPr>
        <w:ind w:firstLine="1134"/>
        <w:jc w:val="both"/>
        <w:rPr>
          <w:sz w:val="24"/>
        </w:rPr>
      </w:pPr>
      <w:r>
        <w:rPr>
          <w:sz w:val="24"/>
        </w:rPr>
        <w:t xml:space="preserve">III - 0,5% (cinco décimos por cento) aos Municípios onde se localizarem instalações marítimas ou terrestres de embarque ou desembarque de óleo bruto ou gás natural. </w:t>
      </w:r>
    </w:p>
    <w:p w:rsidR="0047199D" w:rsidRDefault="0047199D">
      <w:pPr>
        <w:ind w:firstLine="1134"/>
        <w:jc w:val="both"/>
        <w:rPr>
          <w:sz w:val="24"/>
        </w:rPr>
      </w:pPr>
      <w:r>
        <w:rPr>
          <w:sz w:val="24"/>
        </w:rPr>
        <w:t xml:space="preserve">Parágrafo único. Os Estados, Territórios e Municípios centrais, em cujos lagos, rios, ilhas fluviais e lacustres se fizer a exploração do petróleo, xisto betuminoso ou gás natural, farão jus à compensação financeira prevista neste artigo. </w:t>
      </w:r>
    </w:p>
    <w:p w:rsidR="0047199D" w:rsidRDefault="0047199D">
      <w:pPr>
        <w:rPr>
          <w:sz w:val="24"/>
        </w:rPr>
      </w:pPr>
    </w:p>
    <w:p w:rsidR="0047199D" w:rsidRDefault="0047199D">
      <w:pPr>
        <w:ind w:firstLine="1134"/>
        <w:jc w:val="both"/>
        <w:rPr>
          <w:sz w:val="24"/>
        </w:rPr>
      </w:pPr>
      <w:r>
        <w:rPr>
          <w:sz w:val="24"/>
        </w:rPr>
        <w:t xml:space="preserve">Art. 18. É também devida a compensação financeira aos Estados, Distrito Federal e Municípios confrontantes quando o óleo, o xisto betuminoso e o gás natural forem extraídos da plataforma continental, nos mesmos 5% (cinco por cento) fixados no artigo anterior, sendo: </w:t>
      </w:r>
    </w:p>
    <w:p w:rsidR="0047199D" w:rsidRDefault="0047199D">
      <w:pPr>
        <w:ind w:firstLine="1134"/>
        <w:jc w:val="both"/>
        <w:rPr>
          <w:sz w:val="24"/>
        </w:rPr>
      </w:pPr>
      <w:r>
        <w:rPr>
          <w:sz w:val="24"/>
        </w:rPr>
        <w:t>I - 1,5% (</w:t>
      </w:r>
      <w:proofErr w:type="gramStart"/>
      <w:r>
        <w:rPr>
          <w:sz w:val="24"/>
        </w:rPr>
        <w:t>um e meio por cento}</w:t>
      </w:r>
      <w:proofErr w:type="gramEnd"/>
      <w:r>
        <w:rPr>
          <w:sz w:val="24"/>
        </w:rPr>
        <w:t xml:space="preserve"> aos Estados e Distrito Federal; </w:t>
      </w:r>
    </w:p>
    <w:p w:rsidR="0047199D" w:rsidRDefault="0047199D">
      <w:pPr>
        <w:ind w:firstLine="1134"/>
        <w:jc w:val="both"/>
        <w:rPr>
          <w:sz w:val="24"/>
        </w:rPr>
      </w:pPr>
      <w:r>
        <w:rPr>
          <w:sz w:val="24"/>
        </w:rPr>
        <w:t xml:space="preserve">II - 0,5% (meio por cento) aos Municípios onde se localizarem instalações marítimas ou terrestres de embarque ou desembarque de óleo bruto ou gás </w:t>
      </w:r>
      <w:proofErr w:type="gramStart"/>
      <w:r>
        <w:rPr>
          <w:sz w:val="24"/>
        </w:rPr>
        <w:t>natural operadas pela Petrobrás</w:t>
      </w:r>
      <w:proofErr w:type="gramEnd"/>
      <w:r>
        <w:rPr>
          <w:sz w:val="24"/>
        </w:rPr>
        <w:t xml:space="preserve">; </w:t>
      </w:r>
    </w:p>
    <w:p w:rsidR="0047199D" w:rsidRDefault="0047199D">
      <w:pPr>
        <w:ind w:firstLine="1134"/>
        <w:jc w:val="both"/>
        <w:rPr>
          <w:sz w:val="24"/>
        </w:rPr>
      </w:pPr>
      <w:r>
        <w:rPr>
          <w:sz w:val="24"/>
        </w:rPr>
        <w:t xml:space="preserve">III - 1,5% (um e meio por cento) aos Municípios confrontantes e suas respectivas áreas geoeconômicas; </w:t>
      </w:r>
    </w:p>
    <w:p w:rsidR="0047199D" w:rsidRDefault="0047199D">
      <w:pPr>
        <w:ind w:firstLine="1134"/>
        <w:jc w:val="both"/>
        <w:rPr>
          <w:sz w:val="24"/>
        </w:rPr>
      </w:pPr>
      <w:r>
        <w:rPr>
          <w:sz w:val="24"/>
        </w:rPr>
        <w:t xml:space="preserve">IV - 1,0% (um por cento) ao Ministério da Marinha, para atender aos encargos de fiscalização e proteção das atividades econômicas das referidas áreas; </w:t>
      </w:r>
    </w:p>
    <w:p w:rsidR="0047199D" w:rsidRDefault="0047199D">
      <w:pPr>
        <w:ind w:firstLine="1134"/>
        <w:jc w:val="both"/>
        <w:rPr>
          <w:sz w:val="24"/>
        </w:rPr>
      </w:pPr>
      <w:r>
        <w:rPr>
          <w:sz w:val="24"/>
        </w:rPr>
        <w:t xml:space="preserve">V - 0,5% (meio por cento) para constituir um Fundo Especial, a ser distribuído entre todos os Estados e Municípios. </w:t>
      </w:r>
    </w:p>
    <w:p w:rsidR="0047199D" w:rsidRDefault="0047199D">
      <w:pPr>
        <w:ind w:firstLine="1134"/>
        <w:jc w:val="both"/>
        <w:rPr>
          <w:sz w:val="24"/>
        </w:rPr>
      </w:pPr>
      <w:r>
        <w:rPr>
          <w:sz w:val="24"/>
        </w:rPr>
        <w:t xml:space="preserve">§ 1º O percentual de 1,5% (um e meio por cento) previsto no inciso III do </w:t>
      </w:r>
      <w:r w:rsidR="00CD7BAA" w:rsidRPr="00CD7BAA">
        <w:rPr>
          <w:i/>
          <w:sz w:val="24"/>
        </w:rPr>
        <w:t>caput</w:t>
      </w:r>
      <w:r>
        <w:rPr>
          <w:sz w:val="24"/>
        </w:rPr>
        <w:t xml:space="preserve"> deste artigo, atribuído aos Municípios confrontantes e suas respectivas áreas geoeconômicas, será partilhado da seguinte forma: </w:t>
      </w:r>
    </w:p>
    <w:p w:rsidR="0047199D" w:rsidRDefault="0047199D">
      <w:pPr>
        <w:pStyle w:val="Corpodetexto2"/>
        <w:ind w:firstLine="1134"/>
        <w:jc w:val="both"/>
      </w:pPr>
      <w:r>
        <w:t xml:space="preserve">I - 60% (sessenta por cento) ao Município confrontante juntamente com os demais Municípios que integram a zona de produção principal, rateados, entre todos, na razão direta da população de cada um, assegurando-se ao Município que concentrar as instalações industriais </w:t>
      </w:r>
      <w:r>
        <w:lastRenderedPageBreak/>
        <w:t xml:space="preserve">para processamento, tratamento, armazenamento e escoamento de petróleo e gás natural, 1/3 (um terço) da cota deste inciso; </w:t>
      </w:r>
    </w:p>
    <w:p w:rsidR="0047199D" w:rsidRDefault="0047199D">
      <w:pPr>
        <w:ind w:firstLine="1134"/>
        <w:jc w:val="both"/>
        <w:rPr>
          <w:sz w:val="24"/>
        </w:rPr>
      </w:pPr>
      <w:r>
        <w:rPr>
          <w:sz w:val="24"/>
        </w:rPr>
        <w:t xml:space="preserve">II - 10% (dez por cento) aos Municípios integrantes de produção secundária, rateado, entre eles, na razão direta da população dos distritos cortados por dutos; </w:t>
      </w:r>
    </w:p>
    <w:p w:rsidR="0047199D" w:rsidRDefault="0047199D">
      <w:pPr>
        <w:ind w:firstLine="1134"/>
        <w:jc w:val="both"/>
        <w:rPr>
          <w:sz w:val="24"/>
        </w:rPr>
      </w:pPr>
      <w:r>
        <w:rPr>
          <w:sz w:val="24"/>
        </w:rPr>
        <w:t xml:space="preserve">III - 30% (trinta por cento) aos Municípios limítrofes à zona de produção principal, rateado, entre eles, na razão direta da população de cada um, excluídos os Municípios integrantes da zona de produção secundária. </w:t>
      </w:r>
    </w:p>
    <w:p w:rsidR="0047199D" w:rsidRDefault="0047199D">
      <w:pPr>
        <w:ind w:firstLine="1134"/>
        <w:jc w:val="both"/>
        <w:rPr>
          <w:sz w:val="24"/>
        </w:rPr>
      </w:pPr>
      <w:r>
        <w:rPr>
          <w:sz w:val="24"/>
        </w:rPr>
        <w:t xml:space="preserve">§ 2º O percentual de 0,5% (meio por cento) previsto no inciso V do </w:t>
      </w:r>
      <w:r w:rsidR="00CD7BAA" w:rsidRPr="00CD7BAA">
        <w:rPr>
          <w:i/>
          <w:sz w:val="24"/>
        </w:rPr>
        <w:t>caput</w:t>
      </w:r>
      <w:r>
        <w:rPr>
          <w:sz w:val="24"/>
        </w:rPr>
        <w:t xml:space="preserve"> deste artigo, atribuído ao Fundo Especial administrado pelo Ministério da Economia, Fazenda e Planejamento (Lei nº 7.525, de 22 de julho de 1986, art. 6º), será distribuído de acordo com os critérios estabelecidos para o rateio dos recursos dos Fundos de Participação dos Estados e Municípios, obedecida a seguinte proporção: </w:t>
      </w:r>
    </w:p>
    <w:p w:rsidR="0047199D" w:rsidRDefault="0047199D">
      <w:pPr>
        <w:ind w:firstLine="1134"/>
        <w:jc w:val="both"/>
        <w:rPr>
          <w:sz w:val="24"/>
        </w:rPr>
      </w:pPr>
      <w:r>
        <w:rPr>
          <w:sz w:val="24"/>
        </w:rPr>
        <w:t xml:space="preserve">I - 20% (vinte por cento) para os Estados; </w:t>
      </w:r>
    </w:p>
    <w:p w:rsidR="0047199D" w:rsidRDefault="0047199D">
      <w:pPr>
        <w:ind w:firstLine="1134"/>
        <w:jc w:val="both"/>
        <w:rPr>
          <w:sz w:val="24"/>
        </w:rPr>
      </w:pPr>
      <w:r>
        <w:rPr>
          <w:sz w:val="24"/>
        </w:rPr>
        <w:t xml:space="preserve">II - 80% (oitenta por cento) para os Municípios. </w:t>
      </w:r>
    </w:p>
    <w:p w:rsidR="0047199D" w:rsidRDefault="0047199D">
      <w:pPr>
        <w:ind w:firstLine="1134"/>
        <w:jc w:val="both"/>
        <w:rPr>
          <w:sz w:val="24"/>
        </w:rPr>
      </w:pPr>
      <w:r>
        <w:rPr>
          <w:sz w:val="24"/>
        </w:rPr>
        <w:t xml:space="preserve">§ 3º No caso de </w:t>
      </w:r>
      <w:proofErr w:type="gramStart"/>
      <w:r>
        <w:rPr>
          <w:sz w:val="24"/>
        </w:rPr>
        <w:t>2</w:t>
      </w:r>
      <w:proofErr w:type="gramEnd"/>
      <w:r>
        <w:rPr>
          <w:sz w:val="24"/>
        </w:rPr>
        <w:t xml:space="preserve"> (dois) Municípios confrontantes serem contíguos e situados em um mesmo Estado, será definida para o conjunto por eles formado uma única área geoeconômica, ficando os percentuais fixados nos incisos I, II e III do § 1º deste artigo referidos ao total das compensações financeiras que couberem aos Municípios confrontantes em conjunto, inclusive a parcela mínima mencionada no inciso I do mesmo parágrafo, que corresponderá a montante equivalente ao terço dividido pelo número de Municípios confrontantes. </w:t>
      </w:r>
    </w:p>
    <w:p w:rsidR="0047199D" w:rsidRDefault="0047199D">
      <w:pPr>
        <w:ind w:firstLine="1134"/>
        <w:jc w:val="both"/>
        <w:rPr>
          <w:sz w:val="24"/>
        </w:rPr>
      </w:pPr>
    </w:p>
    <w:p w:rsidR="0047199D" w:rsidRDefault="0047199D">
      <w:pPr>
        <w:ind w:firstLine="1134"/>
        <w:jc w:val="both"/>
        <w:rPr>
          <w:sz w:val="24"/>
        </w:rPr>
      </w:pPr>
      <w:r>
        <w:rPr>
          <w:sz w:val="24"/>
        </w:rPr>
        <w:t xml:space="preserve">Art. 19. A compensação financeira aos Municípios onde se localizarem instalações marítimas ou terrestres de embarque ou desembarque de óleo bruto ou gás natural será devida na forma do disposto no </w:t>
      </w:r>
      <w:proofErr w:type="spellStart"/>
      <w:r>
        <w:rPr>
          <w:sz w:val="24"/>
        </w:rPr>
        <w:t>art</w:t>
      </w:r>
      <w:proofErr w:type="spellEnd"/>
      <w:r>
        <w:rPr>
          <w:sz w:val="24"/>
        </w:rPr>
        <w:t xml:space="preserve"> 27, inciso III e § 4º da Lei nº 2.004, de </w:t>
      </w:r>
      <w:proofErr w:type="gramStart"/>
      <w:r>
        <w:rPr>
          <w:sz w:val="24"/>
        </w:rPr>
        <w:t>3</w:t>
      </w:r>
      <w:proofErr w:type="gramEnd"/>
      <w:r>
        <w:rPr>
          <w:sz w:val="24"/>
        </w:rPr>
        <w:t xml:space="preserve"> de outubro de 1953, na redação dada pelo art. 7º da Lei nº 7.990, de 28 de dezembro de 1989. </w:t>
      </w:r>
    </w:p>
    <w:p w:rsidR="0047199D" w:rsidRDefault="0047199D">
      <w:pPr>
        <w:pStyle w:val="Corpodetexto2"/>
        <w:ind w:firstLine="1134"/>
        <w:jc w:val="both"/>
        <w:rPr>
          <w:i/>
          <w:u w:val="single"/>
        </w:rPr>
      </w:pPr>
      <w:r>
        <w:t xml:space="preserve">Parágrafo único. </w:t>
      </w:r>
      <w:hyperlink r:id="rId10" w:history="1">
        <w:r w:rsidR="00FD1985" w:rsidRPr="00245E95">
          <w:rPr>
            <w:rStyle w:val="Hyperlink"/>
            <w:i/>
          </w:rPr>
          <w:t>(Revogado pelo Decreto nº 8.876, de 13/10/2016)</w:t>
        </w:r>
        <w:proofErr w:type="gramStart"/>
      </w:hyperlink>
      <w:proofErr w:type="gramEnd"/>
    </w:p>
    <w:p w:rsidR="00FD1985" w:rsidRDefault="00FD1985">
      <w:pPr>
        <w:pStyle w:val="Corpodetexto2"/>
        <w:ind w:firstLine="1134"/>
        <w:jc w:val="both"/>
      </w:pPr>
      <w:r w:rsidRPr="00FD1985">
        <w:t>§ 1</w:t>
      </w:r>
      <w:r>
        <w:t>º</w:t>
      </w:r>
      <w:r w:rsidRPr="00FD1985">
        <w:t xml:space="preserve"> Para os efeitos deste artigo, consideram-se como instalações marítimas ou terrestres de embarque ou desembarque de óleo bruto ou gás natural as </w:t>
      </w:r>
      <w:proofErr w:type="spellStart"/>
      <w:r w:rsidRPr="00FD1985">
        <w:t>monoboias</w:t>
      </w:r>
      <w:proofErr w:type="spellEnd"/>
      <w:r w:rsidRPr="00FD1985">
        <w:t xml:space="preserve"> e suas bases de apoio operacional marítimo, os quadros de boias múltiplas e suas bases de apoio operacional marítimo, os píeres de atracação, os cais acostáveis e as estações terrestres coletoras de campos produtores e de transferência de óleo bruto ou gás </w:t>
      </w:r>
      <w:proofErr w:type="gramStart"/>
      <w:r w:rsidRPr="00FD1985">
        <w:t>natural, obedecidos</w:t>
      </w:r>
      <w:proofErr w:type="gramEnd"/>
      <w:r w:rsidRPr="00FD1985">
        <w:t xml:space="preserve"> os critérios estabelecidos pela Agência Nacional do Petróleo, Gás Natural e Biocombustíveis - ANP.</w:t>
      </w:r>
      <w:r w:rsidR="00245E95">
        <w:t xml:space="preserve"> </w:t>
      </w:r>
      <w:hyperlink r:id="rId11" w:history="1">
        <w:r w:rsidR="00245E95" w:rsidRPr="00245E95">
          <w:rPr>
            <w:rStyle w:val="Hyperlink"/>
            <w:i/>
          </w:rPr>
          <w:t>(</w:t>
        </w:r>
        <w:r w:rsidR="00245E95">
          <w:rPr>
            <w:rStyle w:val="Hyperlink"/>
            <w:i/>
          </w:rPr>
          <w:t xml:space="preserve">Parágrafo acrescido </w:t>
        </w:r>
        <w:r w:rsidR="00245E95" w:rsidRPr="00245E95">
          <w:rPr>
            <w:rStyle w:val="Hyperlink"/>
            <w:i/>
          </w:rPr>
          <w:t>pelo Decreto nº 8.876, de 13/10/2016)</w:t>
        </w:r>
        <w:proofErr w:type="gramStart"/>
      </w:hyperlink>
      <w:proofErr w:type="gramEnd"/>
    </w:p>
    <w:p w:rsidR="00FD1985" w:rsidRPr="00FD1985" w:rsidRDefault="00FD1985">
      <w:pPr>
        <w:pStyle w:val="Corpodetexto2"/>
        <w:ind w:firstLine="1134"/>
        <w:jc w:val="both"/>
      </w:pPr>
      <w:r w:rsidRPr="00FD1985">
        <w:t>§ 2</w:t>
      </w:r>
      <w:r>
        <w:t>º</w:t>
      </w:r>
      <w:r w:rsidRPr="00FD1985">
        <w:t xml:space="preserve"> Serão consideradas como bases de apoio operacional marítimo para as </w:t>
      </w:r>
      <w:proofErr w:type="spellStart"/>
      <w:r w:rsidRPr="00FD1985">
        <w:t>monoboias</w:t>
      </w:r>
      <w:proofErr w:type="spellEnd"/>
      <w:r w:rsidRPr="00FD1985">
        <w:t xml:space="preserve">, ou para os quadros de boias as instalações que sejam utilizadas como apoio aos pontos de atracação de navios com o objetivo de embarcar ou desembarcar petróleo e que concentrem itens como barcos de apoio, equipes de prevenção de acidentes e danos ambientais, </w:t>
      </w:r>
      <w:proofErr w:type="spellStart"/>
      <w:r w:rsidRPr="00FD1985">
        <w:t>mangotes</w:t>
      </w:r>
      <w:proofErr w:type="spellEnd"/>
      <w:r w:rsidRPr="00FD1985">
        <w:t xml:space="preserve">, dutos, conexões, máquinas e outras instalações necessárias para a operação da </w:t>
      </w:r>
      <w:proofErr w:type="spellStart"/>
      <w:r w:rsidRPr="00FD1985">
        <w:t>monoboia</w:t>
      </w:r>
      <w:proofErr w:type="spellEnd"/>
      <w:r w:rsidRPr="00FD1985">
        <w:t xml:space="preserve"> ou do quadro de boias.</w:t>
      </w:r>
      <w:r w:rsidR="005C50FB">
        <w:t xml:space="preserve"> </w:t>
      </w:r>
      <w:hyperlink r:id="rId12" w:history="1">
        <w:r w:rsidR="005C50FB" w:rsidRPr="00245E95">
          <w:rPr>
            <w:rStyle w:val="Hyperlink"/>
            <w:i/>
          </w:rPr>
          <w:t>(</w:t>
        </w:r>
        <w:r w:rsidR="005C50FB">
          <w:rPr>
            <w:rStyle w:val="Hyperlink"/>
            <w:i/>
          </w:rPr>
          <w:t xml:space="preserve">Parágrafo acrescido </w:t>
        </w:r>
        <w:r w:rsidR="005C50FB" w:rsidRPr="00245E95">
          <w:rPr>
            <w:rStyle w:val="Hyperlink"/>
            <w:i/>
          </w:rPr>
          <w:t>pelo Decreto nº 8.876, de 13/10/2016)</w:t>
        </w:r>
        <w:proofErr w:type="gramStart"/>
      </w:hyperlink>
      <w:proofErr w:type="gramEnd"/>
    </w:p>
    <w:p w:rsidR="0047199D" w:rsidRPr="00550749" w:rsidRDefault="0076751A" w:rsidP="00607AC7">
      <w:pPr>
        <w:ind w:firstLine="1134"/>
        <w:rPr>
          <w:sz w:val="24"/>
        </w:rPr>
      </w:pPr>
      <w:bookmarkStart w:id="0" w:name="_GoBack"/>
      <w:bookmarkEnd w:id="0"/>
      <w:r w:rsidRPr="00550749">
        <w:rPr>
          <w:sz w:val="24"/>
        </w:rPr>
        <w:t xml:space="preserve">§ 3º </w:t>
      </w:r>
      <w:hyperlink r:id="rId13" w:history="1">
        <w:r w:rsidRPr="00550749">
          <w:rPr>
            <w:rStyle w:val="Hyperlink"/>
            <w:i/>
            <w:sz w:val="24"/>
          </w:rPr>
          <w:t>(Vide Decreto nº 12.849, de 12/2/2026)</w:t>
        </w:r>
        <w:proofErr w:type="gramStart"/>
      </w:hyperlink>
      <w:proofErr w:type="gramEnd"/>
    </w:p>
    <w:p w:rsidR="0076751A" w:rsidRDefault="00416432" w:rsidP="00607AC7">
      <w:pPr>
        <w:ind w:firstLine="1134"/>
        <w:rPr>
          <w:sz w:val="24"/>
        </w:rPr>
      </w:pPr>
      <w:r w:rsidRPr="00550749">
        <w:rPr>
          <w:sz w:val="24"/>
        </w:rPr>
        <w:t xml:space="preserve">§ 4º </w:t>
      </w:r>
      <w:hyperlink r:id="rId14" w:history="1">
        <w:r w:rsidRPr="00550749">
          <w:rPr>
            <w:rStyle w:val="Hyperlink"/>
            <w:i/>
            <w:sz w:val="24"/>
          </w:rPr>
          <w:t>(Vide Decreto nº 12.849, de 12/2/2026)</w:t>
        </w:r>
        <w:proofErr w:type="gramStart"/>
      </w:hyperlink>
      <w:proofErr w:type="gramEnd"/>
    </w:p>
    <w:p w:rsidR="0076751A" w:rsidRDefault="0076751A" w:rsidP="00607AC7">
      <w:pPr>
        <w:ind w:firstLine="1134"/>
        <w:rPr>
          <w:sz w:val="24"/>
        </w:rPr>
      </w:pPr>
    </w:p>
    <w:p w:rsidR="0047199D" w:rsidRDefault="0047199D">
      <w:pPr>
        <w:ind w:firstLine="1134"/>
        <w:jc w:val="both"/>
        <w:rPr>
          <w:sz w:val="24"/>
        </w:rPr>
      </w:pPr>
      <w:r>
        <w:rPr>
          <w:sz w:val="24"/>
        </w:rPr>
        <w:t xml:space="preserve">Art. 20. No cálculo da compensação financeira incidente sobre o valor do óleo de poço ou de xisto betuminoso e do gás natural extraído da plataforma continental, consideram-se como confrontantes com poços produtores os Estados e Municípios contíguos à área marítima delimitada pelas linhas de projeção dos respectivos limites territoriais até a linha de limite da plataforma continental, onde estiverem situados os poços. </w:t>
      </w:r>
    </w:p>
    <w:p w:rsidR="0047199D" w:rsidRDefault="0047199D">
      <w:pPr>
        <w:pStyle w:val="Corpodetexto2"/>
        <w:ind w:firstLine="1134"/>
        <w:jc w:val="both"/>
      </w:pPr>
      <w:r>
        <w:lastRenderedPageBreak/>
        <w:t xml:space="preserve">§ 1º A área geoeconômica de um Município confrontante será definida a partir de critérios referentes às atividades de produção de uma dada área de produção petrolífera marítima e aos impactos destas atividades sobre as áreas vizinhas. </w:t>
      </w:r>
    </w:p>
    <w:p w:rsidR="0047199D" w:rsidRDefault="0047199D">
      <w:pPr>
        <w:ind w:firstLine="1134"/>
        <w:jc w:val="both"/>
        <w:rPr>
          <w:sz w:val="24"/>
        </w:rPr>
      </w:pPr>
      <w:r>
        <w:rPr>
          <w:sz w:val="24"/>
        </w:rPr>
        <w:t xml:space="preserve">§ 2º Os Municípios que integram tal área geoeconômica serão divididos em </w:t>
      </w:r>
      <w:proofErr w:type="gramStart"/>
      <w:r>
        <w:rPr>
          <w:sz w:val="24"/>
        </w:rPr>
        <w:t>3</w:t>
      </w:r>
      <w:proofErr w:type="gramEnd"/>
      <w:r>
        <w:rPr>
          <w:sz w:val="24"/>
        </w:rPr>
        <w:t xml:space="preserve"> (três) zonas, distinguindo-se 1 (uma) zona de produção principal, 1 (uma) zona de produção secundária e 1 (uma) zona limítrofe à zona de produção principal, considerando-se como: </w:t>
      </w:r>
    </w:p>
    <w:p w:rsidR="0047199D" w:rsidRDefault="0047199D">
      <w:pPr>
        <w:pStyle w:val="Corpodetexto2"/>
        <w:ind w:firstLine="1134"/>
        <w:jc w:val="both"/>
      </w:pPr>
      <w:r>
        <w:t xml:space="preserve">I - zona de produção principal de uma dada área de produção petrolífera marítima o Município confrontante e os Municípios onde estiverem localizadas </w:t>
      </w:r>
      <w:proofErr w:type="gramStart"/>
      <w:r>
        <w:t>3</w:t>
      </w:r>
      <w:proofErr w:type="gramEnd"/>
      <w:r>
        <w:t xml:space="preserve"> (três) ou mais instalações dos seguintes tipos: </w:t>
      </w:r>
    </w:p>
    <w:p w:rsidR="0047199D" w:rsidRDefault="0047199D">
      <w:pPr>
        <w:ind w:firstLine="1134"/>
        <w:jc w:val="both"/>
        <w:rPr>
          <w:sz w:val="24"/>
        </w:rPr>
      </w:pPr>
      <w:r>
        <w:rPr>
          <w:sz w:val="24"/>
        </w:rPr>
        <w:t xml:space="preserve"> a) instalações industriais para processamento, tratamento, armazenamento e escoamento de petróleo e gás natural, excluindo os dutos;</w:t>
      </w:r>
      <w:proofErr w:type="gramStart"/>
      <w:r>
        <w:rPr>
          <w:sz w:val="24"/>
        </w:rPr>
        <w:t xml:space="preserve">  </w:t>
      </w:r>
    </w:p>
    <w:p w:rsidR="0047199D" w:rsidRDefault="0047199D">
      <w:pPr>
        <w:ind w:firstLine="1134"/>
        <w:jc w:val="both"/>
        <w:rPr>
          <w:sz w:val="24"/>
        </w:rPr>
      </w:pPr>
      <w:proofErr w:type="gramEnd"/>
      <w:r>
        <w:rPr>
          <w:sz w:val="24"/>
        </w:rPr>
        <w:t xml:space="preserve"> b) instalações relacionadas às atividades de apoio à exploração, produção e ao escoamento do petróleo e gás natural, tais como: portos, aeroportos, oficinas de manutenção e fabricação, almoxarifados, armazéns e escritórios.  </w:t>
      </w:r>
    </w:p>
    <w:p w:rsidR="0047199D" w:rsidRDefault="0047199D">
      <w:pPr>
        <w:ind w:firstLine="1134"/>
        <w:jc w:val="both"/>
        <w:rPr>
          <w:sz w:val="24"/>
        </w:rPr>
      </w:pPr>
      <w:r>
        <w:rPr>
          <w:sz w:val="24"/>
        </w:rPr>
        <w:t xml:space="preserve">II - zona de produção secundária os Municípios atravessados por oleodutos ou gasodutos, incluindo as respectivas estações de compressão e </w:t>
      </w:r>
      <w:proofErr w:type="gramStart"/>
      <w:r>
        <w:rPr>
          <w:sz w:val="24"/>
        </w:rPr>
        <w:t>bombeio,</w:t>
      </w:r>
      <w:proofErr w:type="gramEnd"/>
      <w:r>
        <w:rPr>
          <w:sz w:val="24"/>
        </w:rPr>
        <w:t xml:space="preserve"> ligados diretamente ao escoamento da produção, até o final do trecho que serve exclusivamente ao escoamento da produção de uma dada área de produção petrolífera marítima, ficando excluída, para fins de definição da área geoeconômica, os ramais de distribuição secundários, feitos com outras finalidades; </w:t>
      </w:r>
    </w:p>
    <w:p w:rsidR="0047199D" w:rsidRDefault="0047199D">
      <w:pPr>
        <w:ind w:firstLine="1134"/>
        <w:jc w:val="both"/>
        <w:rPr>
          <w:sz w:val="24"/>
        </w:rPr>
      </w:pPr>
      <w:r>
        <w:rPr>
          <w:sz w:val="24"/>
        </w:rPr>
        <w:t xml:space="preserve">III - zona limítrofe à de produção principal os Municípios contíguos aos Municípios que a integram, bem como os Municípios que sofram as </w:t>
      </w:r>
      <w:proofErr w:type="spellStart"/>
      <w:r>
        <w:rPr>
          <w:sz w:val="24"/>
        </w:rPr>
        <w:t>conseqüências</w:t>
      </w:r>
      <w:proofErr w:type="spellEnd"/>
      <w:r>
        <w:rPr>
          <w:sz w:val="24"/>
        </w:rPr>
        <w:t xml:space="preserve"> sociais ou econômicas da produção ou exploração do petróleo ou do gás natural. </w:t>
      </w:r>
    </w:p>
    <w:p w:rsidR="0047199D" w:rsidRDefault="0047199D">
      <w:pPr>
        <w:ind w:firstLine="1134"/>
        <w:jc w:val="both"/>
        <w:rPr>
          <w:sz w:val="24"/>
        </w:rPr>
      </w:pPr>
      <w:r>
        <w:rPr>
          <w:sz w:val="24"/>
        </w:rPr>
        <w:t xml:space="preserve">§ 3º Ficam excluídos da área geoeconômica de um Município confrontante, Municípios onde estejam localizadas instalações dos tipos especificados na letra a do parágrafo anterior, mais que não sirvam, em termos de produção petrolífera, exclusivamente a uma dada área de produção petrolífera marítima. </w:t>
      </w:r>
    </w:p>
    <w:p w:rsidR="0047199D" w:rsidRDefault="0047199D">
      <w:pPr>
        <w:rPr>
          <w:sz w:val="24"/>
        </w:rPr>
      </w:pPr>
    </w:p>
    <w:p w:rsidR="0047199D" w:rsidRDefault="0047199D">
      <w:pPr>
        <w:ind w:firstLine="1134"/>
        <w:jc w:val="both"/>
        <w:rPr>
          <w:sz w:val="24"/>
        </w:rPr>
      </w:pPr>
      <w:r>
        <w:rPr>
          <w:sz w:val="24"/>
        </w:rPr>
        <w:t xml:space="preserve">Art. 21. A compensação devida aos Municípios confrontantes e suas respectivas áreas geoeconômicas será calculada segundo o valor da produção associada à Unidade da Federação de que fazem parte. </w:t>
      </w:r>
    </w:p>
    <w:p w:rsidR="0047199D" w:rsidRDefault="0047199D">
      <w:pPr>
        <w:pStyle w:val="Corpodetexto2"/>
        <w:ind w:firstLine="1134"/>
        <w:jc w:val="both"/>
      </w:pPr>
      <w:r>
        <w:t xml:space="preserve">§ 1º A compensação devida a Municípios que pertençam à mesma Unidade da Federação será rateada entre os que integram a zona de produção principal, a zona de produção secundária e a zona limítrofe, de acordo, respectivamente, com os percentuais </w:t>
      </w:r>
      <w:proofErr w:type="gramStart"/>
      <w:r>
        <w:t>fixados nos incisos I a III do § 1º do art. 18 deste decreto, respeitado</w:t>
      </w:r>
      <w:proofErr w:type="gramEnd"/>
      <w:r>
        <w:t xml:space="preserve"> o disposto no art. 9º do Decreto nº 93.189, de 29 de agosto de 1986. </w:t>
      </w:r>
    </w:p>
    <w:p w:rsidR="0047199D" w:rsidRDefault="0047199D">
      <w:pPr>
        <w:ind w:firstLine="1134"/>
        <w:jc w:val="both"/>
        <w:rPr>
          <w:sz w:val="24"/>
        </w:rPr>
      </w:pPr>
      <w:r>
        <w:rPr>
          <w:sz w:val="24"/>
        </w:rPr>
        <w:t xml:space="preserve">§ 2º No cálculo das compensações atribuir-se-á a cada Município um coeficiente individual de participação, determinado com base na respectiva população ou na dos seus distritos, conforme tabela constante do anexo deste decreto. </w:t>
      </w:r>
    </w:p>
    <w:p w:rsidR="0047199D" w:rsidRDefault="0047199D">
      <w:pPr>
        <w:ind w:firstLine="1134"/>
        <w:jc w:val="both"/>
        <w:rPr>
          <w:sz w:val="24"/>
        </w:rPr>
      </w:pPr>
      <w:r>
        <w:rPr>
          <w:sz w:val="24"/>
        </w:rPr>
        <w:t xml:space="preserve">§ 3º A compensação devida a cada Município será obtida multiplicando-se a parcela atribuída à sua correspondente zona pelo quociente formado entre seu coeficiente individual de participação e a soma dos coeficientes individuais de participação dos Municípios que integram a mesma zona. </w:t>
      </w:r>
    </w:p>
    <w:p w:rsidR="0047199D" w:rsidRDefault="0047199D">
      <w:pPr>
        <w:ind w:firstLine="1134"/>
        <w:jc w:val="both"/>
        <w:rPr>
          <w:sz w:val="24"/>
        </w:rPr>
      </w:pPr>
      <w:r>
        <w:rPr>
          <w:sz w:val="24"/>
        </w:rPr>
        <w:t>§ 4º Não se procederá ao destaque a que se refere o art. 18, § 1º, inciso I, in fine, deste decreto:</w:t>
      </w:r>
      <w:proofErr w:type="gramStart"/>
      <w:r>
        <w:rPr>
          <w:sz w:val="24"/>
        </w:rPr>
        <w:t xml:space="preserve">  </w:t>
      </w:r>
      <w:proofErr w:type="gramEnd"/>
      <w:r>
        <w:rPr>
          <w:sz w:val="24"/>
        </w:rPr>
        <w:t xml:space="preserve">a) caso inexista, entre os que integram a zona de produção principal, Município que concentre instalações industriais para processamento, tratamento, armazenamento e escoamento de petróleo ou gás natural, provenientes exclusivamente da plataforma continental;  </w:t>
      </w:r>
    </w:p>
    <w:p w:rsidR="0047199D" w:rsidRDefault="0047199D">
      <w:pPr>
        <w:ind w:firstLine="1134"/>
        <w:jc w:val="both"/>
        <w:rPr>
          <w:sz w:val="24"/>
        </w:rPr>
      </w:pPr>
      <w:r>
        <w:rPr>
          <w:sz w:val="24"/>
        </w:rPr>
        <w:lastRenderedPageBreak/>
        <w:t xml:space="preserve">b) na hipótese de a indenização decorrente do destaque ser inferior à que o Município obteria em virtude da atribuição do coeficiente individual de participação, nos termos dos §§ 2º e 3º deste artigo.  </w:t>
      </w:r>
    </w:p>
    <w:p w:rsidR="0047199D" w:rsidRDefault="0047199D">
      <w:pPr>
        <w:ind w:firstLine="1134"/>
        <w:jc w:val="both"/>
        <w:rPr>
          <w:sz w:val="24"/>
        </w:rPr>
      </w:pPr>
      <w:r>
        <w:rPr>
          <w:sz w:val="24"/>
        </w:rPr>
        <w:t xml:space="preserve">§ 5º O Departamento Nacional de Combustíveis (DNC) fará publicar os coeficientes individuais de participação dos Municípios, a partir das relações elaboradas pela Fundação Instituto Brasileiro de Geografia e Estatística (IBGE), nos termos do art. 7º do Decreto nº 93.189, de 29 de agosto de 1986, e daquelas elaboradas pela Petrobrás, referentes aos Municípios onde se localizarem instalações de embarque ou desembarque de óleo bruto ou gás natural, operados pela mesma. </w:t>
      </w:r>
    </w:p>
    <w:p w:rsidR="0047199D" w:rsidRDefault="0047199D">
      <w:pPr>
        <w:ind w:firstLine="1134"/>
        <w:jc w:val="both"/>
        <w:rPr>
          <w:sz w:val="24"/>
        </w:rPr>
      </w:pPr>
    </w:p>
    <w:p w:rsidR="0047199D" w:rsidRDefault="0047199D">
      <w:pPr>
        <w:ind w:firstLine="1134"/>
        <w:jc w:val="both"/>
        <w:rPr>
          <w:sz w:val="24"/>
        </w:rPr>
      </w:pPr>
      <w:r>
        <w:rPr>
          <w:sz w:val="24"/>
        </w:rPr>
        <w:t xml:space="preserve">Art. 22. O DNC fixará os valores do óleo de poço ou petróleo bruto, do óleo de xisto betuminoso e do gás natural, de </w:t>
      </w:r>
      <w:proofErr w:type="gramStart"/>
      <w:r>
        <w:rPr>
          <w:sz w:val="24"/>
        </w:rPr>
        <w:t>produção nacional, observados</w:t>
      </w:r>
      <w:proofErr w:type="gramEnd"/>
      <w:r>
        <w:rPr>
          <w:sz w:val="24"/>
        </w:rPr>
        <w:t xml:space="preserve"> os seguintes critérios: </w:t>
      </w:r>
    </w:p>
    <w:p w:rsidR="0047199D" w:rsidRDefault="0047199D">
      <w:pPr>
        <w:pStyle w:val="Corpodetexto2"/>
        <w:ind w:firstLine="1134"/>
        <w:jc w:val="both"/>
      </w:pPr>
      <w:r>
        <w:t xml:space="preserve">I - O valor do petróleo bruto será o da paridade na boca do poço produtor, definido como a diferença entre o custo CIF do petróleo importado, expresso em moeda nacional e utilizado como base para fixação dos preços dos derivados produzidos no País, e o custo médio de </w:t>
      </w:r>
      <w:proofErr w:type="spellStart"/>
      <w:r>
        <w:t>transferencia</w:t>
      </w:r>
      <w:proofErr w:type="spellEnd"/>
      <w:r>
        <w:t xml:space="preserve"> entre os poços produtores e os pontos de embarque; </w:t>
      </w:r>
    </w:p>
    <w:p w:rsidR="0047199D" w:rsidRDefault="0047199D">
      <w:pPr>
        <w:ind w:firstLine="1134"/>
        <w:jc w:val="both"/>
        <w:rPr>
          <w:sz w:val="24"/>
        </w:rPr>
      </w:pPr>
      <w:r>
        <w:rPr>
          <w:sz w:val="24"/>
        </w:rPr>
        <w:t xml:space="preserve">II - O valor do óleo de xisto betuminoso extraído das bacias sedimentares terrestres será igual ao fixado para o petróleo bruto, nos termos do inciso anterior; </w:t>
      </w:r>
    </w:p>
    <w:p w:rsidR="0047199D" w:rsidRDefault="0047199D">
      <w:pPr>
        <w:ind w:firstLine="1134"/>
        <w:jc w:val="both"/>
        <w:rPr>
          <w:sz w:val="24"/>
        </w:rPr>
      </w:pPr>
      <w:r>
        <w:rPr>
          <w:sz w:val="24"/>
        </w:rPr>
        <w:t xml:space="preserve">III - O valor do gás natural, referido à pressão absoluta de 1.033 Kg/cm² e temperatura de 20ºC, será igual à média ponderada dos preços de venda fixados pelo DNC para os diferentes usos do produto, dela deduzidos o custo médio de transferência entre os poços produtores e os respectivos pontos de entrega. </w:t>
      </w:r>
    </w:p>
    <w:p w:rsidR="0047199D" w:rsidRDefault="0047199D">
      <w:pPr>
        <w:ind w:firstLine="1134"/>
        <w:jc w:val="both"/>
        <w:rPr>
          <w:sz w:val="24"/>
        </w:rPr>
      </w:pPr>
      <w:r>
        <w:rPr>
          <w:sz w:val="24"/>
        </w:rPr>
        <w:t xml:space="preserve">§ 1º No caso de variação do custo CIF do petróleo importado no mesmo mês do ano calendário, far-se-á ponderação pelo número de dias em que vigorou cada custo CIF. </w:t>
      </w:r>
    </w:p>
    <w:p w:rsidR="0047199D" w:rsidRDefault="0047199D">
      <w:pPr>
        <w:pStyle w:val="Recuodecorpodetexto"/>
      </w:pPr>
      <w:r>
        <w:t xml:space="preserve">§ 2º A compensação incidente sobre o gás natural será calculada sobre os volumes extraídos e utilizados, excluídos os </w:t>
      </w:r>
      <w:proofErr w:type="spellStart"/>
      <w:r>
        <w:t>inaproveitados</w:t>
      </w:r>
      <w:proofErr w:type="spellEnd"/>
      <w:r>
        <w:t xml:space="preserve">, que escapam no processo de produção de petróleo, e os </w:t>
      </w:r>
      <w:proofErr w:type="spellStart"/>
      <w:r>
        <w:t>reinjetados</w:t>
      </w:r>
      <w:proofErr w:type="spellEnd"/>
      <w:r>
        <w:t xml:space="preserve"> nas jazidas. </w:t>
      </w:r>
    </w:p>
    <w:p w:rsidR="0047199D" w:rsidRDefault="0047199D">
      <w:pPr>
        <w:ind w:firstLine="1134"/>
        <w:jc w:val="both"/>
        <w:rPr>
          <w:sz w:val="24"/>
        </w:rPr>
      </w:pPr>
      <w:r>
        <w:rPr>
          <w:sz w:val="24"/>
        </w:rPr>
        <w:t xml:space="preserve">§ 3º Os custos de produção previstos neste artigo serão fixados pelo DNC, de conformidade com os valores apurados pela Petrobrás, no primeiro ou no segundo mês anterior ao da produção. </w:t>
      </w:r>
    </w:p>
    <w:p w:rsidR="0047199D" w:rsidRDefault="0047199D">
      <w:pPr>
        <w:ind w:firstLine="1134"/>
        <w:jc w:val="both"/>
        <w:rPr>
          <w:sz w:val="24"/>
        </w:rPr>
      </w:pPr>
      <w:r>
        <w:rPr>
          <w:sz w:val="24"/>
        </w:rPr>
        <w:t xml:space="preserve">§ 4º Na apuração dos valores a que se refere o parágrafo anterior a Petrobrás indicará, separadamente, os custos correspondentes à produção das bacias sedimentares terrestres e da plataforma continental. </w:t>
      </w:r>
    </w:p>
    <w:p w:rsidR="0047199D" w:rsidRDefault="0047199D">
      <w:pPr>
        <w:rPr>
          <w:sz w:val="24"/>
        </w:rPr>
      </w:pPr>
    </w:p>
    <w:p w:rsidR="0047199D" w:rsidRDefault="0047199D">
      <w:pPr>
        <w:pStyle w:val="Corpodetexto2"/>
        <w:ind w:firstLine="1134"/>
        <w:jc w:val="both"/>
      </w:pPr>
      <w:r>
        <w:t xml:space="preserve">Art. 23. Os Estados transferirão aos Municípios 25% (vinte e cinco por cento) das parcelas das compensações financeiras que lhes são atribuídas pelos </w:t>
      </w:r>
      <w:proofErr w:type="spellStart"/>
      <w:r>
        <w:t>arts</w:t>
      </w:r>
      <w:proofErr w:type="spellEnd"/>
      <w:r>
        <w:t xml:space="preserve">. 17 e 18 deste decreto, mediante observância dos mesmos critérios de atribuição de recursos estabelecidos em decorrência do disposto no art. 158, inciso IV e respectivo parágrafo único da Constituição, e dos mesmos prazos fixados para entrega desses recursos, contados a partir do recebimento da compensação. </w:t>
      </w:r>
    </w:p>
    <w:p w:rsidR="0047199D" w:rsidRDefault="0047199D">
      <w:pPr>
        <w:ind w:firstLine="1134"/>
        <w:jc w:val="both"/>
        <w:rPr>
          <w:sz w:val="24"/>
        </w:rPr>
      </w:pPr>
    </w:p>
    <w:p w:rsidR="0047199D" w:rsidRDefault="0047199D">
      <w:pPr>
        <w:ind w:firstLine="1134"/>
        <w:jc w:val="both"/>
        <w:rPr>
          <w:sz w:val="24"/>
        </w:rPr>
      </w:pPr>
      <w:r>
        <w:rPr>
          <w:sz w:val="24"/>
        </w:rPr>
        <w:t xml:space="preserve">Art. 24. Os Estados e os Municípios deverão aplicar os recursos previstos neste Capítulo, exclusivamente em energia, pavimentação de rodovias, abastecimento e tratamento de água, irrigação, proteção ao meio ambiente e em saneamento básico. </w:t>
      </w:r>
    </w:p>
    <w:p w:rsidR="0047199D" w:rsidRDefault="0047199D">
      <w:pPr>
        <w:ind w:firstLine="1134"/>
        <w:jc w:val="both"/>
        <w:rPr>
          <w:sz w:val="24"/>
        </w:rPr>
      </w:pPr>
    </w:p>
    <w:p w:rsidR="0047199D" w:rsidRDefault="0047199D">
      <w:pPr>
        <w:ind w:firstLine="1134"/>
        <w:jc w:val="both"/>
        <w:rPr>
          <w:sz w:val="24"/>
        </w:rPr>
      </w:pPr>
      <w:r>
        <w:rPr>
          <w:sz w:val="24"/>
        </w:rPr>
        <w:t xml:space="preserve">Art. 25. O cálculo da compensação financeira de que trata este Capítulo, a ser paga aos Estados e Municípios confrontantes e aos Municípios pertencentes às respectivas áreas </w:t>
      </w:r>
      <w:proofErr w:type="gramStart"/>
      <w:r>
        <w:rPr>
          <w:sz w:val="24"/>
        </w:rPr>
        <w:lastRenderedPageBreak/>
        <w:t>geoeconômicas, bem como o cálculo das cotas do Fundo Especial referido no art. 18, inciso</w:t>
      </w:r>
      <w:proofErr w:type="gramEnd"/>
      <w:r>
        <w:rPr>
          <w:sz w:val="24"/>
        </w:rPr>
        <w:t xml:space="preserve"> V e § 2º deste decreto, serão efetivados pelo Departamento Nacional de Combustíveis (DNC) e remetidos ao Tribunal de Contas da União ao qual competirá também fiscalizar a sua aplicação na forma das instruções por ele expedidas. </w:t>
      </w:r>
      <w:r>
        <w:rPr>
          <w:sz w:val="24"/>
          <w:u w:val="single"/>
        </w:rPr>
        <w:t>(</w:t>
      </w:r>
      <w:r>
        <w:rPr>
          <w:i/>
          <w:sz w:val="24"/>
          <w:u w:val="single"/>
        </w:rPr>
        <w:t>Expressão “ao qual competirá também fiscalizar a sua aplicação na forma das instruções por ele expedidas” com execução suspensa pelo Senado Federal, na forma do art. 42, VII da Constituição Federal, pela</w:t>
      </w:r>
      <w:r>
        <w:rPr>
          <w:i/>
          <w:sz w:val="24"/>
        </w:rPr>
        <w:t xml:space="preserve"> </w:t>
      </w:r>
      <w:hyperlink r:id="rId15" w:history="1">
        <w:r>
          <w:rPr>
            <w:rStyle w:val="Hyperlink"/>
            <w:i/>
            <w:sz w:val="24"/>
          </w:rPr>
          <w:t>Resolução nº 44, de 30/8/2010</w:t>
        </w:r>
        <w:proofErr w:type="gramStart"/>
        <w:r>
          <w:rPr>
            <w:rStyle w:val="Hyperlink"/>
            <w:i/>
            <w:sz w:val="24"/>
          </w:rPr>
          <w:t>).</w:t>
        </w:r>
        <w:proofErr w:type="gramEnd"/>
      </w:hyperlink>
    </w:p>
    <w:p w:rsidR="0047199D" w:rsidRDefault="0047199D">
      <w:pPr>
        <w:rPr>
          <w:sz w:val="24"/>
        </w:rPr>
      </w:pPr>
    </w:p>
    <w:p w:rsidR="0047199D" w:rsidRDefault="0047199D">
      <w:pPr>
        <w:pStyle w:val="Ttulo6"/>
        <w:rPr>
          <w:caps/>
        </w:rPr>
      </w:pPr>
      <w:r>
        <w:rPr>
          <w:caps/>
        </w:rPr>
        <w:t>CAPÍTULO V</w:t>
      </w:r>
    </w:p>
    <w:p w:rsidR="0047199D" w:rsidRDefault="0047199D">
      <w:pPr>
        <w:jc w:val="center"/>
        <w:rPr>
          <w:caps/>
          <w:sz w:val="24"/>
        </w:rPr>
      </w:pPr>
      <w:r>
        <w:rPr>
          <w:caps/>
          <w:sz w:val="24"/>
        </w:rPr>
        <w:t>Disposições Gerais</w:t>
      </w:r>
    </w:p>
    <w:p w:rsidR="0047199D" w:rsidRDefault="0047199D">
      <w:pPr>
        <w:jc w:val="both"/>
        <w:rPr>
          <w:sz w:val="24"/>
        </w:rPr>
      </w:pPr>
    </w:p>
    <w:p w:rsidR="0047199D" w:rsidRDefault="0047199D">
      <w:pPr>
        <w:ind w:firstLine="1134"/>
        <w:jc w:val="both"/>
        <w:rPr>
          <w:sz w:val="24"/>
        </w:rPr>
      </w:pPr>
      <w:r>
        <w:rPr>
          <w:sz w:val="24"/>
        </w:rPr>
        <w:t xml:space="preserve">Art. 26. O pagamento das compensações financeiras previstas neste decreto, inclusive dos </w:t>
      </w:r>
      <w:r w:rsidR="00CD7BAA" w:rsidRPr="00CD7BAA">
        <w:rPr>
          <w:i/>
          <w:sz w:val="24"/>
        </w:rPr>
        <w:t>royalties</w:t>
      </w:r>
      <w:r>
        <w:rPr>
          <w:sz w:val="24"/>
        </w:rPr>
        <w:t xml:space="preserve"> devidos por Itaipu Binacional ao Brasil, será efetuado mensalmente, diretamente aos beneficiários, mediante depósito em contas específicas de titularidade dos mesmos no Banco do Brasil S.A., até o último dia útil do segundo mês </w:t>
      </w:r>
      <w:proofErr w:type="spellStart"/>
      <w:r>
        <w:rPr>
          <w:sz w:val="24"/>
        </w:rPr>
        <w:t>subseqüente</w:t>
      </w:r>
      <w:proofErr w:type="spellEnd"/>
      <w:r>
        <w:rPr>
          <w:sz w:val="24"/>
        </w:rPr>
        <w:t xml:space="preserve"> ao do fato gerador. </w:t>
      </w:r>
    </w:p>
    <w:p w:rsidR="0047199D" w:rsidRDefault="0047199D">
      <w:pPr>
        <w:pStyle w:val="Recuodecorpodetexto"/>
      </w:pPr>
      <w:r>
        <w:t xml:space="preserve">Parágrafo único. É vedado, aos beneficiários das compensações financeiras de que trata este decreto, a aplicação das mesmas em pagamento de dívidas e no quadro permanente de pessoal. </w:t>
      </w:r>
    </w:p>
    <w:p w:rsidR="0047199D" w:rsidRDefault="0047199D">
      <w:pPr>
        <w:jc w:val="both"/>
        <w:rPr>
          <w:sz w:val="24"/>
        </w:rPr>
      </w:pPr>
    </w:p>
    <w:p w:rsidR="0047199D" w:rsidRDefault="0047199D">
      <w:pPr>
        <w:ind w:firstLine="1134"/>
        <w:jc w:val="both"/>
        <w:rPr>
          <w:sz w:val="24"/>
        </w:rPr>
      </w:pPr>
      <w:r>
        <w:rPr>
          <w:sz w:val="24"/>
        </w:rPr>
        <w:t xml:space="preserve">Art. 27. O DNAEE, o DNPM e o DNC, no âmbito das respectivas atribuições, poderão expedir instruções complementares a este decreto. </w:t>
      </w:r>
    </w:p>
    <w:p w:rsidR="0047199D" w:rsidRDefault="0047199D">
      <w:pPr>
        <w:ind w:firstLine="1134"/>
        <w:jc w:val="both"/>
        <w:rPr>
          <w:sz w:val="24"/>
        </w:rPr>
      </w:pPr>
    </w:p>
    <w:p w:rsidR="0047199D" w:rsidRDefault="0047199D">
      <w:pPr>
        <w:ind w:firstLine="1134"/>
        <w:jc w:val="both"/>
        <w:rPr>
          <w:sz w:val="24"/>
        </w:rPr>
      </w:pPr>
      <w:r>
        <w:rPr>
          <w:sz w:val="24"/>
        </w:rPr>
        <w:t xml:space="preserve">Art. 28. Este Decreto entra em vigor na data de sua publicação. </w:t>
      </w:r>
    </w:p>
    <w:p w:rsidR="0047199D" w:rsidRDefault="0047199D">
      <w:pPr>
        <w:ind w:firstLine="1134"/>
        <w:jc w:val="both"/>
        <w:rPr>
          <w:sz w:val="24"/>
        </w:rPr>
      </w:pPr>
    </w:p>
    <w:p w:rsidR="0047199D" w:rsidRDefault="0047199D">
      <w:pPr>
        <w:ind w:firstLine="1134"/>
        <w:jc w:val="both"/>
        <w:rPr>
          <w:sz w:val="24"/>
        </w:rPr>
      </w:pPr>
      <w:r>
        <w:rPr>
          <w:sz w:val="24"/>
        </w:rPr>
        <w:t xml:space="preserve">Art. 29. Fica revogado o Decreto nº 94.240, de 21 de abril de 1987, e demais disposições em contrário. </w:t>
      </w:r>
    </w:p>
    <w:p w:rsidR="0047199D" w:rsidRDefault="0047199D">
      <w:pPr>
        <w:jc w:val="both"/>
        <w:rPr>
          <w:sz w:val="24"/>
        </w:rPr>
      </w:pPr>
    </w:p>
    <w:p w:rsidR="0047199D" w:rsidRDefault="0047199D">
      <w:pPr>
        <w:ind w:firstLine="1134"/>
        <w:jc w:val="both"/>
        <w:rPr>
          <w:sz w:val="24"/>
        </w:rPr>
      </w:pPr>
      <w:r>
        <w:rPr>
          <w:sz w:val="24"/>
        </w:rPr>
        <w:t xml:space="preserve">Brasília, 11 de janeiro de 1991; 170º da Independência e 103º da República. </w:t>
      </w:r>
    </w:p>
    <w:p w:rsidR="0047199D" w:rsidRDefault="0047199D">
      <w:pPr>
        <w:ind w:firstLine="1134"/>
        <w:jc w:val="both"/>
        <w:rPr>
          <w:sz w:val="24"/>
        </w:rPr>
      </w:pPr>
    </w:p>
    <w:p w:rsidR="0047199D" w:rsidRDefault="0047199D">
      <w:pPr>
        <w:ind w:firstLine="1134"/>
        <w:jc w:val="both"/>
        <w:rPr>
          <w:sz w:val="24"/>
        </w:rPr>
      </w:pPr>
      <w:r>
        <w:rPr>
          <w:sz w:val="24"/>
        </w:rPr>
        <w:t>FERNANDO COLLOR</w:t>
      </w:r>
    </w:p>
    <w:p w:rsidR="0047199D" w:rsidRDefault="0047199D">
      <w:pPr>
        <w:ind w:firstLine="1134"/>
        <w:jc w:val="both"/>
        <w:rPr>
          <w:sz w:val="24"/>
        </w:rPr>
      </w:pPr>
      <w:r>
        <w:rPr>
          <w:sz w:val="24"/>
        </w:rPr>
        <w:t xml:space="preserve">Zélia M. Cardoso de Mello </w:t>
      </w:r>
    </w:p>
    <w:p w:rsidR="0047199D" w:rsidRDefault="0047199D">
      <w:pPr>
        <w:ind w:firstLine="1134"/>
        <w:jc w:val="both"/>
        <w:rPr>
          <w:sz w:val="24"/>
        </w:rPr>
      </w:pPr>
      <w:r>
        <w:rPr>
          <w:sz w:val="24"/>
        </w:rPr>
        <w:t xml:space="preserve">Ozires Silva </w:t>
      </w:r>
    </w:p>
    <w:p w:rsidR="0047199D" w:rsidRDefault="0047199D">
      <w:pPr>
        <w:rPr>
          <w:sz w:val="24"/>
        </w:rPr>
      </w:pPr>
    </w:p>
    <w:p w:rsidR="00BD5DD2" w:rsidRDefault="00BD5DD2">
      <w:pPr>
        <w:rPr>
          <w:sz w:val="24"/>
        </w:rPr>
      </w:pPr>
    </w:p>
    <w:p w:rsidR="00BD5DD2" w:rsidRPr="00BD5DD2" w:rsidRDefault="00BD5DD2" w:rsidP="00BD5DD2">
      <w:pPr>
        <w:jc w:val="center"/>
        <w:rPr>
          <w:sz w:val="24"/>
        </w:rPr>
      </w:pPr>
      <w:r w:rsidRPr="00BD5DD2">
        <w:rPr>
          <w:sz w:val="24"/>
        </w:rPr>
        <w:t>ANEXO AO DECRETO N</w:t>
      </w:r>
      <w:r>
        <w:rPr>
          <w:sz w:val="24"/>
        </w:rPr>
        <w:t>º</w:t>
      </w:r>
      <w:r w:rsidRPr="00BD5DD2">
        <w:rPr>
          <w:sz w:val="24"/>
        </w:rPr>
        <w:t xml:space="preserve"> </w:t>
      </w:r>
      <w:r w:rsidR="00607AC7">
        <w:rPr>
          <w:sz w:val="24"/>
        </w:rPr>
        <w:t>0</w:t>
      </w:r>
      <w:r w:rsidRPr="00BD5DD2">
        <w:rPr>
          <w:sz w:val="24"/>
        </w:rPr>
        <w:t>1, DE 11 DE JANEIRO DE 1991.</w:t>
      </w:r>
    </w:p>
    <w:p w:rsidR="00BD5DD2" w:rsidRDefault="00BD5DD2" w:rsidP="00BD5DD2">
      <w:pPr>
        <w:jc w:val="center"/>
        <w:rPr>
          <w:sz w:val="24"/>
        </w:rPr>
      </w:pPr>
      <w:r w:rsidRPr="00BD5DD2">
        <w:rPr>
          <w:sz w:val="24"/>
        </w:rPr>
        <w:t>(ART. 21, § 2</w:t>
      </w:r>
      <w:r w:rsidR="00607AC7">
        <w:rPr>
          <w:sz w:val="24"/>
        </w:rPr>
        <w:t>º</w:t>
      </w:r>
      <w:r w:rsidRPr="00BD5DD2">
        <w:rPr>
          <w:sz w:val="24"/>
        </w:rPr>
        <w:t>)</w:t>
      </w:r>
    </w:p>
    <w:p w:rsidR="00607AC7" w:rsidRPr="00BD5DD2" w:rsidRDefault="00607AC7" w:rsidP="00BD5DD2">
      <w:pPr>
        <w:jc w:val="center"/>
        <w:rPr>
          <w:sz w:val="24"/>
        </w:rPr>
      </w:pPr>
    </w:p>
    <w:p w:rsidR="0047199D" w:rsidRDefault="00BD5DD2" w:rsidP="00BD5DD2">
      <w:pPr>
        <w:jc w:val="center"/>
        <w:rPr>
          <w:sz w:val="24"/>
        </w:rPr>
      </w:pPr>
      <w:r w:rsidRPr="00BD5DD2">
        <w:rPr>
          <w:sz w:val="24"/>
        </w:rPr>
        <w:t>COEFICIENTES INDIVIDUAIS DE PARTICIPAÇÃO DOS MUNIC</w:t>
      </w:r>
      <w:r>
        <w:rPr>
          <w:sz w:val="24"/>
        </w:rPr>
        <w:t>Í</w:t>
      </w:r>
      <w:r w:rsidRPr="00BD5DD2">
        <w:rPr>
          <w:sz w:val="24"/>
        </w:rPr>
        <w:t>PIOS</w:t>
      </w:r>
    </w:p>
    <w:p w:rsidR="00BD5DD2" w:rsidRDefault="00BD5DD2" w:rsidP="00BD5DD2">
      <w:pPr>
        <w:jc w:val="center"/>
        <w:rPr>
          <w:sz w:val="24"/>
        </w:rPr>
      </w:pPr>
    </w:p>
    <w:tbl>
      <w:tblPr>
        <w:tblW w:w="0" w:type="auto"/>
        <w:jc w:val="center"/>
        <w:tblLook w:val="04A0" w:firstRow="1" w:lastRow="0" w:firstColumn="1" w:lastColumn="0" w:noHBand="0" w:noVBand="1"/>
      </w:tblPr>
      <w:tblGrid>
        <w:gridCol w:w="1305"/>
        <w:gridCol w:w="1276"/>
        <w:gridCol w:w="786"/>
        <w:gridCol w:w="1136"/>
        <w:gridCol w:w="1842"/>
      </w:tblGrid>
      <w:tr w:rsidR="00E478B0" w:rsidRPr="00C83F3B" w:rsidTr="00C83F3B">
        <w:trPr>
          <w:jc w:val="center"/>
        </w:trPr>
        <w:tc>
          <w:tcPr>
            <w:tcW w:w="4503" w:type="dxa"/>
            <w:gridSpan w:val="4"/>
            <w:tcBorders>
              <w:top w:val="single" w:sz="4" w:space="0" w:color="auto"/>
              <w:bottom w:val="single" w:sz="4" w:space="0" w:color="auto"/>
            </w:tcBorders>
            <w:shd w:val="clear" w:color="auto" w:fill="auto"/>
          </w:tcPr>
          <w:p w:rsidR="00E478B0" w:rsidRPr="00C83F3B" w:rsidRDefault="00E478B0" w:rsidP="00C83F3B">
            <w:pPr>
              <w:jc w:val="both"/>
              <w:rPr>
                <w:sz w:val="24"/>
              </w:rPr>
            </w:pPr>
            <w:r w:rsidRPr="00C83F3B">
              <w:rPr>
                <w:sz w:val="24"/>
              </w:rPr>
              <w:t>Número de Habitantes d</w:t>
            </w:r>
            <w:r w:rsidR="00607AC7" w:rsidRPr="00C83F3B">
              <w:rPr>
                <w:sz w:val="24"/>
              </w:rPr>
              <w:t>o</w:t>
            </w:r>
            <w:r w:rsidRPr="00C83F3B">
              <w:rPr>
                <w:sz w:val="24"/>
              </w:rPr>
              <w:t xml:space="preserve"> Município (ou do Distrito, na hipótese prevista no inciso II do art. 5º da Lei nº 7.525, de 22 de julho de </w:t>
            </w:r>
            <w:proofErr w:type="gramStart"/>
            <w:r w:rsidRPr="00C83F3B">
              <w:rPr>
                <w:sz w:val="24"/>
              </w:rPr>
              <w:t>1986)</w:t>
            </w:r>
            <w:proofErr w:type="gramEnd"/>
          </w:p>
        </w:tc>
        <w:tc>
          <w:tcPr>
            <w:tcW w:w="1842" w:type="dxa"/>
            <w:tcBorders>
              <w:top w:val="single" w:sz="4" w:space="0" w:color="auto"/>
              <w:bottom w:val="single" w:sz="4" w:space="0" w:color="auto"/>
            </w:tcBorders>
            <w:shd w:val="clear" w:color="auto" w:fill="auto"/>
          </w:tcPr>
          <w:p w:rsidR="00607AC7" w:rsidRPr="00C83F3B" w:rsidRDefault="00E478B0" w:rsidP="00C83F3B">
            <w:pPr>
              <w:jc w:val="center"/>
              <w:rPr>
                <w:sz w:val="24"/>
              </w:rPr>
            </w:pPr>
            <w:r w:rsidRPr="00C83F3B">
              <w:rPr>
                <w:sz w:val="24"/>
              </w:rPr>
              <w:t>Coeficiente Individual</w:t>
            </w:r>
          </w:p>
          <w:p w:rsidR="00607AC7" w:rsidRPr="00C83F3B" w:rsidRDefault="00607AC7" w:rsidP="00C83F3B">
            <w:pPr>
              <w:jc w:val="center"/>
              <w:rPr>
                <w:sz w:val="24"/>
              </w:rPr>
            </w:pPr>
            <w:proofErr w:type="gramStart"/>
            <w:r w:rsidRPr="00C83F3B">
              <w:rPr>
                <w:sz w:val="24"/>
              </w:rPr>
              <w:t>d</w:t>
            </w:r>
            <w:r w:rsidR="00E478B0" w:rsidRPr="00C83F3B">
              <w:rPr>
                <w:sz w:val="24"/>
              </w:rPr>
              <w:t>e</w:t>
            </w:r>
            <w:proofErr w:type="gramEnd"/>
          </w:p>
          <w:p w:rsidR="00E478B0" w:rsidRPr="00C83F3B" w:rsidRDefault="00E478B0" w:rsidP="00C83F3B">
            <w:pPr>
              <w:jc w:val="center"/>
              <w:rPr>
                <w:sz w:val="24"/>
              </w:rPr>
            </w:pPr>
            <w:r w:rsidRPr="00C83F3B">
              <w:rPr>
                <w:sz w:val="24"/>
              </w:rPr>
              <w:t>Participação</w:t>
            </w:r>
          </w:p>
        </w:tc>
      </w:tr>
      <w:tr w:rsidR="00BD5DD2" w:rsidRPr="00C83F3B" w:rsidTr="00C83F3B">
        <w:trPr>
          <w:jc w:val="center"/>
        </w:trPr>
        <w:tc>
          <w:tcPr>
            <w:tcW w:w="1305" w:type="dxa"/>
            <w:tcBorders>
              <w:top w:val="single" w:sz="4" w:space="0" w:color="auto"/>
            </w:tcBorders>
            <w:shd w:val="clear" w:color="auto" w:fill="auto"/>
          </w:tcPr>
          <w:p w:rsidR="00BD5DD2" w:rsidRPr="00C83F3B" w:rsidRDefault="00BD5DD2" w:rsidP="00C83F3B">
            <w:pPr>
              <w:jc w:val="both"/>
              <w:rPr>
                <w:sz w:val="24"/>
              </w:rPr>
            </w:pPr>
            <w:proofErr w:type="gramStart"/>
            <w:r w:rsidRPr="00C83F3B">
              <w:rPr>
                <w:sz w:val="24"/>
              </w:rPr>
              <w:t>até</w:t>
            </w:r>
            <w:proofErr w:type="gramEnd"/>
          </w:p>
        </w:tc>
        <w:tc>
          <w:tcPr>
            <w:tcW w:w="1276" w:type="dxa"/>
            <w:tcBorders>
              <w:top w:val="single" w:sz="4" w:space="0" w:color="auto"/>
            </w:tcBorders>
            <w:shd w:val="clear" w:color="auto" w:fill="auto"/>
          </w:tcPr>
          <w:p w:rsidR="00BD5DD2" w:rsidRPr="00C83F3B" w:rsidRDefault="00BD5DD2" w:rsidP="00C83F3B">
            <w:pPr>
              <w:jc w:val="both"/>
              <w:rPr>
                <w:sz w:val="24"/>
              </w:rPr>
            </w:pPr>
          </w:p>
        </w:tc>
        <w:tc>
          <w:tcPr>
            <w:tcW w:w="786" w:type="dxa"/>
            <w:tcBorders>
              <w:top w:val="single" w:sz="4" w:space="0" w:color="auto"/>
            </w:tcBorders>
            <w:shd w:val="clear" w:color="auto" w:fill="auto"/>
          </w:tcPr>
          <w:p w:rsidR="00BD5DD2" w:rsidRPr="00C83F3B" w:rsidRDefault="00BD5DD2" w:rsidP="00C83F3B">
            <w:pPr>
              <w:jc w:val="center"/>
              <w:rPr>
                <w:sz w:val="24"/>
              </w:rPr>
            </w:pPr>
          </w:p>
        </w:tc>
        <w:tc>
          <w:tcPr>
            <w:tcW w:w="1136" w:type="dxa"/>
            <w:tcBorders>
              <w:top w:val="single" w:sz="4" w:space="0" w:color="auto"/>
            </w:tcBorders>
            <w:shd w:val="clear" w:color="auto" w:fill="auto"/>
          </w:tcPr>
          <w:p w:rsidR="00BD5DD2" w:rsidRPr="00C83F3B" w:rsidRDefault="00BD5DD2" w:rsidP="00C83F3B">
            <w:pPr>
              <w:jc w:val="right"/>
              <w:rPr>
                <w:sz w:val="24"/>
              </w:rPr>
            </w:pPr>
            <w:r w:rsidRPr="00C83F3B">
              <w:rPr>
                <w:sz w:val="24"/>
              </w:rPr>
              <w:t>10000</w:t>
            </w:r>
          </w:p>
        </w:tc>
        <w:tc>
          <w:tcPr>
            <w:tcW w:w="1842" w:type="dxa"/>
            <w:tcBorders>
              <w:top w:val="single" w:sz="4" w:space="0" w:color="auto"/>
            </w:tcBorders>
            <w:shd w:val="clear" w:color="auto" w:fill="auto"/>
          </w:tcPr>
          <w:p w:rsidR="00BD5DD2" w:rsidRPr="00C83F3B" w:rsidRDefault="00E478B0" w:rsidP="00C83F3B">
            <w:pPr>
              <w:jc w:val="center"/>
              <w:rPr>
                <w:sz w:val="24"/>
              </w:rPr>
            </w:pPr>
            <w:r w:rsidRPr="00C83F3B">
              <w:rPr>
                <w:sz w:val="24"/>
              </w:rPr>
              <w:t>1,00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10001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12000</w:t>
            </w:r>
          </w:p>
        </w:tc>
        <w:tc>
          <w:tcPr>
            <w:tcW w:w="1842" w:type="dxa"/>
            <w:shd w:val="clear" w:color="auto" w:fill="auto"/>
          </w:tcPr>
          <w:p w:rsidR="00E478B0" w:rsidRPr="00C83F3B" w:rsidRDefault="00E478B0" w:rsidP="00C83F3B">
            <w:pPr>
              <w:jc w:val="center"/>
              <w:rPr>
                <w:sz w:val="24"/>
              </w:rPr>
            </w:pPr>
            <w:r w:rsidRPr="00C83F3B">
              <w:rPr>
                <w:sz w:val="24"/>
              </w:rPr>
              <w:t>1,05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12001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14000</w:t>
            </w:r>
          </w:p>
        </w:tc>
        <w:tc>
          <w:tcPr>
            <w:tcW w:w="1842" w:type="dxa"/>
            <w:shd w:val="clear" w:color="auto" w:fill="auto"/>
          </w:tcPr>
          <w:p w:rsidR="00E478B0" w:rsidRPr="00C83F3B" w:rsidRDefault="00E478B0" w:rsidP="00C83F3B">
            <w:pPr>
              <w:jc w:val="center"/>
              <w:rPr>
                <w:sz w:val="24"/>
              </w:rPr>
            </w:pPr>
            <w:r w:rsidRPr="00C83F3B">
              <w:rPr>
                <w:sz w:val="24"/>
              </w:rPr>
              <w:t>1,10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14001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16000</w:t>
            </w:r>
          </w:p>
        </w:tc>
        <w:tc>
          <w:tcPr>
            <w:tcW w:w="1842" w:type="dxa"/>
            <w:shd w:val="clear" w:color="auto" w:fill="auto"/>
          </w:tcPr>
          <w:p w:rsidR="00E478B0" w:rsidRPr="00C83F3B" w:rsidRDefault="00E478B0" w:rsidP="00C83F3B">
            <w:pPr>
              <w:jc w:val="center"/>
              <w:rPr>
                <w:sz w:val="24"/>
              </w:rPr>
            </w:pPr>
            <w:r w:rsidRPr="00C83F3B">
              <w:rPr>
                <w:sz w:val="24"/>
              </w:rPr>
              <w:t>1,15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16001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18000</w:t>
            </w:r>
          </w:p>
        </w:tc>
        <w:tc>
          <w:tcPr>
            <w:tcW w:w="1842" w:type="dxa"/>
            <w:shd w:val="clear" w:color="auto" w:fill="auto"/>
          </w:tcPr>
          <w:p w:rsidR="00E478B0" w:rsidRPr="00C83F3B" w:rsidRDefault="00E478B0" w:rsidP="00C83F3B">
            <w:pPr>
              <w:jc w:val="center"/>
              <w:rPr>
                <w:sz w:val="24"/>
              </w:rPr>
            </w:pPr>
            <w:r w:rsidRPr="00C83F3B">
              <w:rPr>
                <w:sz w:val="24"/>
              </w:rPr>
              <w:t>1,20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lastRenderedPageBreak/>
              <w:t>De</w:t>
            </w:r>
          </w:p>
        </w:tc>
        <w:tc>
          <w:tcPr>
            <w:tcW w:w="1276" w:type="dxa"/>
            <w:shd w:val="clear" w:color="auto" w:fill="auto"/>
          </w:tcPr>
          <w:p w:rsidR="00E478B0" w:rsidRPr="00C83F3B" w:rsidRDefault="00E478B0" w:rsidP="00C83F3B">
            <w:pPr>
              <w:jc w:val="right"/>
              <w:rPr>
                <w:sz w:val="24"/>
              </w:rPr>
            </w:pPr>
            <w:r w:rsidRPr="00C83F3B">
              <w:rPr>
                <w:sz w:val="24"/>
              </w:rPr>
              <w:t>18001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20000</w:t>
            </w:r>
          </w:p>
        </w:tc>
        <w:tc>
          <w:tcPr>
            <w:tcW w:w="1842" w:type="dxa"/>
            <w:shd w:val="clear" w:color="auto" w:fill="auto"/>
          </w:tcPr>
          <w:p w:rsidR="00E478B0" w:rsidRPr="00C83F3B" w:rsidRDefault="00E478B0" w:rsidP="00C83F3B">
            <w:pPr>
              <w:jc w:val="center"/>
              <w:rPr>
                <w:sz w:val="24"/>
              </w:rPr>
            </w:pPr>
            <w:r w:rsidRPr="00C83F3B">
              <w:rPr>
                <w:sz w:val="24"/>
              </w:rPr>
              <w:t>1,25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20001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24000</w:t>
            </w:r>
          </w:p>
        </w:tc>
        <w:tc>
          <w:tcPr>
            <w:tcW w:w="1842" w:type="dxa"/>
            <w:shd w:val="clear" w:color="auto" w:fill="auto"/>
          </w:tcPr>
          <w:p w:rsidR="00E478B0" w:rsidRPr="00C83F3B" w:rsidRDefault="00E478B0" w:rsidP="00C83F3B">
            <w:pPr>
              <w:jc w:val="center"/>
              <w:rPr>
                <w:sz w:val="24"/>
              </w:rPr>
            </w:pPr>
            <w:r w:rsidRPr="00C83F3B">
              <w:rPr>
                <w:sz w:val="24"/>
              </w:rPr>
              <w:t>1,30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24001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28000</w:t>
            </w:r>
          </w:p>
        </w:tc>
        <w:tc>
          <w:tcPr>
            <w:tcW w:w="1842" w:type="dxa"/>
            <w:shd w:val="clear" w:color="auto" w:fill="auto"/>
          </w:tcPr>
          <w:p w:rsidR="00E478B0" w:rsidRPr="00C83F3B" w:rsidRDefault="00E478B0" w:rsidP="00C83F3B">
            <w:pPr>
              <w:jc w:val="center"/>
              <w:rPr>
                <w:sz w:val="24"/>
              </w:rPr>
            </w:pPr>
            <w:r w:rsidRPr="00C83F3B">
              <w:rPr>
                <w:sz w:val="24"/>
              </w:rPr>
              <w:t>1,35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28001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32000</w:t>
            </w:r>
          </w:p>
        </w:tc>
        <w:tc>
          <w:tcPr>
            <w:tcW w:w="1842" w:type="dxa"/>
            <w:shd w:val="clear" w:color="auto" w:fill="auto"/>
          </w:tcPr>
          <w:p w:rsidR="00E478B0" w:rsidRPr="00C83F3B" w:rsidRDefault="00E478B0" w:rsidP="00C83F3B">
            <w:pPr>
              <w:jc w:val="center"/>
              <w:rPr>
                <w:sz w:val="24"/>
              </w:rPr>
            </w:pPr>
            <w:r w:rsidRPr="00C83F3B">
              <w:rPr>
                <w:sz w:val="24"/>
              </w:rPr>
              <w:t>1,40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32001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36000</w:t>
            </w:r>
          </w:p>
        </w:tc>
        <w:tc>
          <w:tcPr>
            <w:tcW w:w="1842" w:type="dxa"/>
            <w:shd w:val="clear" w:color="auto" w:fill="auto"/>
          </w:tcPr>
          <w:p w:rsidR="00E478B0" w:rsidRPr="00C83F3B" w:rsidRDefault="00E478B0" w:rsidP="00C83F3B">
            <w:pPr>
              <w:jc w:val="center"/>
              <w:rPr>
                <w:sz w:val="24"/>
              </w:rPr>
            </w:pPr>
            <w:r w:rsidRPr="00C83F3B">
              <w:rPr>
                <w:sz w:val="24"/>
              </w:rPr>
              <w:t>1,45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36001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40000</w:t>
            </w:r>
          </w:p>
        </w:tc>
        <w:tc>
          <w:tcPr>
            <w:tcW w:w="1842" w:type="dxa"/>
            <w:shd w:val="clear" w:color="auto" w:fill="auto"/>
          </w:tcPr>
          <w:p w:rsidR="00E478B0" w:rsidRPr="00C83F3B" w:rsidRDefault="00E478B0" w:rsidP="00C83F3B">
            <w:pPr>
              <w:jc w:val="center"/>
              <w:rPr>
                <w:sz w:val="24"/>
              </w:rPr>
            </w:pPr>
            <w:r w:rsidRPr="00C83F3B">
              <w:rPr>
                <w:sz w:val="24"/>
              </w:rPr>
              <w:t>1,50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40001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48000</w:t>
            </w:r>
          </w:p>
        </w:tc>
        <w:tc>
          <w:tcPr>
            <w:tcW w:w="1842" w:type="dxa"/>
            <w:shd w:val="clear" w:color="auto" w:fill="auto"/>
          </w:tcPr>
          <w:p w:rsidR="00E478B0" w:rsidRPr="00C83F3B" w:rsidRDefault="00E478B0" w:rsidP="00C83F3B">
            <w:pPr>
              <w:jc w:val="center"/>
              <w:rPr>
                <w:sz w:val="24"/>
              </w:rPr>
            </w:pPr>
            <w:r w:rsidRPr="00C83F3B">
              <w:rPr>
                <w:sz w:val="24"/>
              </w:rPr>
              <w:t>1,55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48001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56000</w:t>
            </w:r>
          </w:p>
        </w:tc>
        <w:tc>
          <w:tcPr>
            <w:tcW w:w="1842" w:type="dxa"/>
            <w:shd w:val="clear" w:color="auto" w:fill="auto"/>
          </w:tcPr>
          <w:p w:rsidR="00E478B0" w:rsidRPr="00C83F3B" w:rsidRDefault="00E478B0" w:rsidP="00C83F3B">
            <w:pPr>
              <w:jc w:val="center"/>
              <w:rPr>
                <w:sz w:val="24"/>
              </w:rPr>
            </w:pPr>
            <w:r w:rsidRPr="00C83F3B">
              <w:rPr>
                <w:sz w:val="24"/>
              </w:rPr>
              <w:t>1,60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56001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64000</w:t>
            </w:r>
          </w:p>
        </w:tc>
        <w:tc>
          <w:tcPr>
            <w:tcW w:w="1842" w:type="dxa"/>
            <w:shd w:val="clear" w:color="auto" w:fill="auto"/>
          </w:tcPr>
          <w:p w:rsidR="00E478B0" w:rsidRPr="00C83F3B" w:rsidRDefault="00E478B0" w:rsidP="00C83F3B">
            <w:pPr>
              <w:jc w:val="center"/>
              <w:rPr>
                <w:sz w:val="24"/>
              </w:rPr>
            </w:pPr>
            <w:r w:rsidRPr="00C83F3B">
              <w:rPr>
                <w:sz w:val="24"/>
              </w:rPr>
              <w:t>1,65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64001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72000</w:t>
            </w:r>
          </w:p>
        </w:tc>
        <w:tc>
          <w:tcPr>
            <w:tcW w:w="1842" w:type="dxa"/>
            <w:shd w:val="clear" w:color="auto" w:fill="auto"/>
          </w:tcPr>
          <w:p w:rsidR="00E478B0" w:rsidRPr="00C83F3B" w:rsidRDefault="00E478B0" w:rsidP="00C83F3B">
            <w:pPr>
              <w:jc w:val="center"/>
              <w:rPr>
                <w:sz w:val="24"/>
              </w:rPr>
            </w:pPr>
            <w:r w:rsidRPr="00C83F3B">
              <w:rPr>
                <w:sz w:val="24"/>
              </w:rPr>
              <w:t>1,70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72001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80000</w:t>
            </w:r>
          </w:p>
        </w:tc>
        <w:tc>
          <w:tcPr>
            <w:tcW w:w="1842" w:type="dxa"/>
            <w:shd w:val="clear" w:color="auto" w:fill="auto"/>
          </w:tcPr>
          <w:p w:rsidR="00E478B0" w:rsidRPr="00C83F3B" w:rsidRDefault="00E478B0" w:rsidP="00C83F3B">
            <w:pPr>
              <w:jc w:val="center"/>
              <w:rPr>
                <w:sz w:val="24"/>
              </w:rPr>
            </w:pPr>
            <w:r w:rsidRPr="00C83F3B">
              <w:rPr>
                <w:sz w:val="24"/>
              </w:rPr>
              <w:t>1,75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80001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96000</w:t>
            </w:r>
          </w:p>
        </w:tc>
        <w:tc>
          <w:tcPr>
            <w:tcW w:w="1842" w:type="dxa"/>
            <w:shd w:val="clear" w:color="auto" w:fill="auto"/>
          </w:tcPr>
          <w:p w:rsidR="00E478B0" w:rsidRPr="00C83F3B" w:rsidRDefault="00E478B0" w:rsidP="00C83F3B">
            <w:pPr>
              <w:jc w:val="center"/>
              <w:rPr>
                <w:sz w:val="24"/>
              </w:rPr>
            </w:pPr>
            <w:r w:rsidRPr="00C83F3B">
              <w:rPr>
                <w:sz w:val="24"/>
              </w:rPr>
              <w:t>1,80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96001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112000</w:t>
            </w:r>
          </w:p>
        </w:tc>
        <w:tc>
          <w:tcPr>
            <w:tcW w:w="1842" w:type="dxa"/>
            <w:shd w:val="clear" w:color="auto" w:fill="auto"/>
          </w:tcPr>
          <w:p w:rsidR="00E478B0" w:rsidRPr="00C83F3B" w:rsidRDefault="00E478B0" w:rsidP="00C83F3B">
            <w:pPr>
              <w:jc w:val="center"/>
              <w:rPr>
                <w:sz w:val="24"/>
              </w:rPr>
            </w:pPr>
            <w:r w:rsidRPr="00C83F3B">
              <w:rPr>
                <w:sz w:val="24"/>
              </w:rPr>
              <w:t>1,85</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112001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128000</w:t>
            </w:r>
          </w:p>
        </w:tc>
        <w:tc>
          <w:tcPr>
            <w:tcW w:w="1842" w:type="dxa"/>
            <w:shd w:val="clear" w:color="auto" w:fill="auto"/>
          </w:tcPr>
          <w:p w:rsidR="00E478B0" w:rsidRPr="00C83F3B" w:rsidRDefault="00E478B0" w:rsidP="00C83F3B">
            <w:pPr>
              <w:jc w:val="center"/>
              <w:rPr>
                <w:sz w:val="24"/>
              </w:rPr>
            </w:pPr>
            <w:r w:rsidRPr="00C83F3B">
              <w:rPr>
                <w:sz w:val="24"/>
              </w:rPr>
              <w:t>1,90</w:t>
            </w:r>
          </w:p>
        </w:tc>
      </w:tr>
      <w:tr w:rsidR="00E478B0" w:rsidRPr="00C83F3B" w:rsidTr="00C83F3B">
        <w:trPr>
          <w:jc w:val="center"/>
        </w:trPr>
        <w:tc>
          <w:tcPr>
            <w:tcW w:w="1305" w:type="dxa"/>
            <w:shd w:val="clear" w:color="auto" w:fill="auto"/>
          </w:tcPr>
          <w:p w:rsidR="00E478B0" w:rsidRPr="00C83F3B" w:rsidRDefault="00E478B0" w:rsidP="00C83F3B">
            <w:pPr>
              <w:jc w:val="both"/>
              <w:rPr>
                <w:sz w:val="24"/>
              </w:rPr>
            </w:pPr>
            <w:r w:rsidRPr="00C83F3B">
              <w:rPr>
                <w:sz w:val="24"/>
              </w:rPr>
              <w:t>De</w:t>
            </w:r>
          </w:p>
        </w:tc>
        <w:tc>
          <w:tcPr>
            <w:tcW w:w="1276" w:type="dxa"/>
            <w:shd w:val="clear" w:color="auto" w:fill="auto"/>
          </w:tcPr>
          <w:p w:rsidR="00E478B0" w:rsidRPr="00C83F3B" w:rsidRDefault="00E478B0" w:rsidP="00C83F3B">
            <w:pPr>
              <w:jc w:val="right"/>
              <w:rPr>
                <w:sz w:val="24"/>
              </w:rPr>
            </w:pPr>
            <w:r w:rsidRPr="00C83F3B">
              <w:rPr>
                <w:sz w:val="24"/>
              </w:rPr>
              <w:t>128001</w:t>
            </w:r>
          </w:p>
        </w:tc>
        <w:tc>
          <w:tcPr>
            <w:tcW w:w="786" w:type="dxa"/>
            <w:shd w:val="clear" w:color="auto" w:fill="auto"/>
          </w:tcPr>
          <w:p w:rsidR="00E478B0" w:rsidRPr="00C83F3B" w:rsidRDefault="00E478B0" w:rsidP="00C83F3B">
            <w:pPr>
              <w:jc w:val="center"/>
              <w:rPr>
                <w:sz w:val="24"/>
              </w:rPr>
            </w:pPr>
            <w:proofErr w:type="gramStart"/>
            <w:r w:rsidRPr="00C83F3B">
              <w:rPr>
                <w:sz w:val="24"/>
              </w:rPr>
              <w:t>a</w:t>
            </w:r>
            <w:proofErr w:type="gramEnd"/>
          </w:p>
        </w:tc>
        <w:tc>
          <w:tcPr>
            <w:tcW w:w="1136" w:type="dxa"/>
            <w:shd w:val="clear" w:color="auto" w:fill="auto"/>
          </w:tcPr>
          <w:p w:rsidR="00E478B0" w:rsidRPr="00C83F3B" w:rsidRDefault="00E478B0" w:rsidP="00C83F3B">
            <w:pPr>
              <w:jc w:val="right"/>
              <w:rPr>
                <w:sz w:val="24"/>
              </w:rPr>
            </w:pPr>
            <w:r w:rsidRPr="00C83F3B">
              <w:rPr>
                <w:sz w:val="24"/>
              </w:rPr>
              <w:t>144000</w:t>
            </w:r>
          </w:p>
        </w:tc>
        <w:tc>
          <w:tcPr>
            <w:tcW w:w="1842" w:type="dxa"/>
            <w:shd w:val="clear" w:color="auto" w:fill="auto"/>
          </w:tcPr>
          <w:p w:rsidR="00E478B0" w:rsidRPr="00C83F3B" w:rsidRDefault="00E478B0" w:rsidP="00C83F3B">
            <w:pPr>
              <w:jc w:val="center"/>
              <w:rPr>
                <w:sz w:val="24"/>
              </w:rPr>
            </w:pPr>
            <w:r w:rsidRPr="00C83F3B">
              <w:rPr>
                <w:sz w:val="24"/>
              </w:rPr>
              <w:t>1,95</w:t>
            </w:r>
          </w:p>
        </w:tc>
      </w:tr>
      <w:tr w:rsidR="00BD5DD2" w:rsidRPr="00C83F3B" w:rsidTr="00C83F3B">
        <w:trPr>
          <w:jc w:val="center"/>
        </w:trPr>
        <w:tc>
          <w:tcPr>
            <w:tcW w:w="1305" w:type="dxa"/>
            <w:tcBorders>
              <w:bottom w:val="single" w:sz="4" w:space="0" w:color="auto"/>
            </w:tcBorders>
            <w:shd w:val="clear" w:color="auto" w:fill="auto"/>
          </w:tcPr>
          <w:p w:rsidR="00BD5DD2" w:rsidRPr="00C83F3B" w:rsidRDefault="00BD5DD2" w:rsidP="00C83F3B">
            <w:pPr>
              <w:jc w:val="both"/>
              <w:rPr>
                <w:sz w:val="24"/>
              </w:rPr>
            </w:pPr>
            <w:r w:rsidRPr="00C83F3B">
              <w:rPr>
                <w:sz w:val="24"/>
              </w:rPr>
              <w:t>Acima</w:t>
            </w:r>
          </w:p>
        </w:tc>
        <w:tc>
          <w:tcPr>
            <w:tcW w:w="1276" w:type="dxa"/>
            <w:tcBorders>
              <w:bottom w:val="single" w:sz="4" w:space="0" w:color="auto"/>
            </w:tcBorders>
            <w:shd w:val="clear" w:color="auto" w:fill="auto"/>
          </w:tcPr>
          <w:p w:rsidR="00BD5DD2" w:rsidRPr="00C83F3B" w:rsidRDefault="00BD5DD2" w:rsidP="00C83F3B">
            <w:pPr>
              <w:jc w:val="right"/>
              <w:rPr>
                <w:sz w:val="24"/>
              </w:rPr>
            </w:pPr>
            <w:proofErr w:type="gramStart"/>
            <w:r w:rsidRPr="00C83F3B">
              <w:rPr>
                <w:sz w:val="24"/>
              </w:rPr>
              <w:t>de</w:t>
            </w:r>
            <w:proofErr w:type="gramEnd"/>
          </w:p>
        </w:tc>
        <w:tc>
          <w:tcPr>
            <w:tcW w:w="786" w:type="dxa"/>
            <w:tcBorders>
              <w:bottom w:val="single" w:sz="4" w:space="0" w:color="auto"/>
            </w:tcBorders>
            <w:shd w:val="clear" w:color="auto" w:fill="auto"/>
          </w:tcPr>
          <w:p w:rsidR="00BD5DD2" w:rsidRPr="00C83F3B" w:rsidRDefault="00BD5DD2" w:rsidP="00C83F3B">
            <w:pPr>
              <w:jc w:val="both"/>
              <w:rPr>
                <w:sz w:val="24"/>
              </w:rPr>
            </w:pPr>
          </w:p>
        </w:tc>
        <w:tc>
          <w:tcPr>
            <w:tcW w:w="1136" w:type="dxa"/>
            <w:tcBorders>
              <w:bottom w:val="single" w:sz="4" w:space="0" w:color="auto"/>
            </w:tcBorders>
            <w:shd w:val="clear" w:color="auto" w:fill="auto"/>
          </w:tcPr>
          <w:p w:rsidR="00BD5DD2" w:rsidRPr="00C83F3B" w:rsidRDefault="00BD5DD2" w:rsidP="00C83F3B">
            <w:pPr>
              <w:jc w:val="right"/>
              <w:rPr>
                <w:sz w:val="24"/>
              </w:rPr>
            </w:pPr>
            <w:r w:rsidRPr="00C83F3B">
              <w:rPr>
                <w:sz w:val="24"/>
              </w:rPr>
              <w:t>144000</w:t>
            </w:r>
          </w:p>
        </w:tc>
        <w:tc>
          <w:tcPr>
            <w:tcW w:w="1842" w:type="dxa"/>
            <w:tcBorders>
              <w:bottom w:val="single" w:sz="4" w:space="0" w:color="auto"/>
            </w:tcBorders>
            <w:shd w:val="clear" w:color="auto" w:fill="auto"/>
          </w:tcPr>
          <w:p w:rsidR="00BD5DD2" w:rsidRPr="00C83F3B" w:rsidRDefault="00E478B0" w:rsidP="00C83F3B">
            <w:pPr>
              <w:jc w:val="center"/>
              <w:rPr>
                <w:sz w:val="24"/>
              </w:rPr>
            </w:pPr>
            <w:r w:rsidRPr="00C83F3B">
              <w:rPr>
                <w:sz w:val="24"/>
              </w:rPr>
              <w:t>2,00</w:t>
            </w:r>
          </w:p>
        </w:tc>
      </w:tr>
    </w:tbl>
    <w:p w:rsidR="00BD5DD2" w:rsidRDefault="00BD5DD2" w:rsidP="00BD5DD2">
      <w:pPr>
        <w:jc w:val="both"/>
        <w:rPr>
          <w:sz w:val="24"/>
        </w:rPr>
      </w:pPr>
    </w:p>
    <w:sectPr w:rsidR="00BD5DD2">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052" w:rsidRDefault="00003052">
      <w:r>
        <w:separator/>
      </w:r>
    </w:p>
  </w:endnote>
  <w:endnote w:type="continuationSeparator" w:id="0">
    <w:p w:rsidR="00003052" w:rsidRDefault="0000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052" w:rsidRDefault="00003052">
      <w:r>
        <w:separator/>
      </w:r>
    </w:p>
  </w:footnote>
  <w:footnote w:type="continuationSeparator" w:id="0">
    <w:p w:rsidR="00003052" w:rsidRDefault="00003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85"/>
    <w:rsid w:val="00003052"/>
    <w:rsid w:val="000146A2"/>
    <w:rsid w:val="000E5D78"/>
    <w:rsid w:val="001345DC"/>
    <w:rsid w:val="00245E95"/>
    <w:rsid w:val="00291ADA"/>
    <w:rsid w:val="003B41BE"/>
    <w:rsid w:val="00416432"/>
    <w:rsid w:val="0047199D"/>
    <w:rsid w:val="00550749"/>
    <w:rsid w:val="005C50FB"/>
    <w:rsid w:val="00607AC7"/>
    <w:rsid w:val="0076751A"/>
    <w:rsid w:val="008E4F80"/>
    <w:rsid w:val="00917E74"/>
    <w:rsid w:val="00BD5DD2"/>
    <w:rsid w:val="00C83F3B"/>
    <w:rsid w:val="00CD7BAA"/>
    <w:rsid w:val="00D54A2F"/>
    <w:rsid w:val="00E478B0"/>
    <w:rsid w:val="00EF0E02"/>
    <w:rsid w:val="00FD1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outlineLvl w:val="2"/>
    </w:pPr>
    <w:rPr>
      <w:b/>
      <w:sz w:val="28"/>
    </w:rPr>
  </w:style>
  <w:style w:type="paragraph" w:styleId="Ttulo4">
    <w:name w:val="heading 4"/>
    <w:basedOn w:val="Normal"/>
    <w:next w:val="Normal"/>
    <w:qFormat/>
    <w:pPr>
      <w:keepNext/>
      <w:ind w:firstLine="1134"/>
      <w:jc w:val="both"/>
      <w:outlineLvl w:val="3"/>
    </w:pPr>
    <w:rPr>
      <w:b/>
      <w:sz w:val="24"/>
    </w:rPr>
  </w:style>
  <w:style w:type="paragraph" w:styleId="Ttulo5">
    <w:name w:val="heading 5"/>
    <w:basedOn w:val="Normal"/>
    <w:next w:val="Normal"/>
    <w:qFormat/>
    <w:pPr>
      <w:keepNext/>
      <w:ind w:firstLine="1134"/>
      <w:jc w:val="right"/>
      <w:outlineLvl w:val="4"/>
    </w:pPr>
    <w:rPr>
      <w:sz w:val="24"/>
    </w:rPr>
  </w:style>
  <w:style w:type="paragraph" w:styleId="Ttulo6">
    <w:name w:val="heading 6"/>
    <w:basedOn w:val="Normal"/>
    <w:next w:val="Normal"/>
    <w:qFormat/>
    <w:pPr>
      <w:keepNext/>
      <w:jc w:val="center"/>
      <w:outlineLvl w:val="5"/>
    </w:pPr>
    <w:rPr>
      <w:sz w:val="24"/>
    </w:rPr>
  </w:style>
  <w:style w:type="paragraph" w:styleId="Ttulo7">
    <w:name w:val="heading 7"/>
    <w:basedOn w:val="Normal"/>
    <w:next w:val="Normal"/>
    <w:qFormat/>
    <w:pPr>
      <w:keepNext/>
      <w:jc w:val="center"/>
      <w:outlineLvl w:val="6"/>
    </w:pPr>
    <w:rPr>
      <w:b/>
      <w:sz w:val="24"/>
    </w:rPr>
  </w:style>
  <w:style w:type="paragraph" w:styleId="Ttulo8">
    <w:name w:val="heading 8"/>
    <w:basedOn w:val="Normal"/>
    <w:next w:val="Normal"/>
    <w:qFormat/>
    <w:pPr>
      <w:keepNext/>
      <w:ind w:firstLine="1134"/>
      <w:outlineLvl w:val="7"/>
    </w:pPr>
    <w:rPr>
      <w:sz w:val="24"/>
    </w:rPr>
  </w:style>
  <w:style w:type="paragraph" w:styleId="Ttulo9">
    <w:name w:val="heading 9"/>
    <w:basedOn w:val="Normal"/>
    <w:next w:val="Normal"/>
    <w:qFormat/>
    <w:pPr>
      <w:keepNext/>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MapadoDocumento">
    <w:name w:val="Document Map"/>
    <w:basedOn w:val="Normal"/>
    <w:semiHidden/>
    <w:pPr>
      <w:shd w:val="clear" w:color="auto" w:fill="000080"/>
    </w:pPr>
    <w:rPr>
      <w:rFonts w:ascii="Tahoma" w:hAnsi="Tahoma"/>
    </w:rPr>
  </w:style>
  <w:style w:type="paragraph" w:styleId="Rodap">
    <w:name w:val="footer"/>
    <w:basedOn w:val="Normal"/>
    <w:semiHidden/>
    <w:pPr>
      <w:tabs>
        <w:tab w:val="center" w:pos="4419"/>
        <w:tab w:val="right" w:pos="8838"/>
      </w:tabs>
    </w:pPr>
  </w:style>
  <w:style w:type="paragraph" w:styleId="Recuodecorpodetexto3">
    <w:name w:val="Body Text Indent 3"/>
    <w:basedOn w:val="Normal"/>
    <w:semiHidden/>
    <w:pPr>
      <w:ind w:left="1701"/>
      <w:jc w:val="both"/>
    </w:pPr>
    <w:rPr>
      <w:sz w:val="24"/>
    </w:rPr>
  </w:style>
  <w:style w:type="paragraph" w:styleId="Corpodetexto2">
    <w:name w:val="Body Text 2"/>
    <w:basedOn w:val="Normal"/>
    <w:semiHidden/>
    <w:rPr>
      <w:sz w:val="24"/>
    </w:rPr>
  </w:style>
  <w:style w:type="table" w:styleId="Tabelacomgrade">
    <w:name w:val="Table Grid"/>
    <w:basedOn w:val="Tabelanormal"/>
    <w:uiPriority w:val="39"/>
    <w:rsid w:val="00BD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outlineLvl w:val="2"/>
    </w:pPr>
    <w:rPr>
      <w:b/>
      <w:sz w:val="28"/>
    </w:rPr>
  </w:style>
  <w:style w:type="paragraph" w:styleId="Ttulo4">
    <w:name w:val="heading 4"/>
    <w:basedOn w:val="Normal"/>
    <w:next w:val="Normal"/>
    <w:qFormat/>
    <w:pPr>
      <w:keepNext/>
      <w:ind w:firstLine="1134"/>
      <w:jc w:val="both"/>
      <w:outlineLvl w:val="3"/>
    </w:pPr>
    <w:rPr>
      <w:b/>
      <w:sz w:val="24"/>
    </w:rPr>
  </w:style>
  <w:style w:type="paragraph" w:styleId="Ttulo5">
    <w:name w:val="heading 5"/>
    <w:basedOn w:val="Normal"/>
    <w:next w:val="Normal"/>
    <w:qFormat/>
    <w:pPr>
      <w:keepNext/>
      <w:ind w:firstLine="1134"/>
      <w:jc w:val="right"/>
      <w:outlineLvl w:val="4"/>
    </w:pPr>
    <w:rPr>
      <w:sz w:val="24"/>
    </w:rPr>
  </w:style>
  <w:style w:type="paragraph" w:styleId="Ttulo6">
    <w:name w:val="heading 6"/>
    <w:basedOn w:val="Normal"/>
    <w:next w:val="Normal"/>
    <w:qFormat/>
    <w:pPr>
      <w:keepNext/>
      <w:jc w:val="center"/>
      <w:outlineLvl w:val="5"/>
    </w:pPr>
    <w:rPr>
      <w:sz w:val="24"/>
    </w:rPr>
  </w:style>
  <w:style w:type="paragraph" w:styleId="Ttulo7">
    <w:name w:val="heading 7"/>
    <w:basedOn w:val="Normal"/>
    <w:next w:val="Normal"/>
    <w:qFormat/>
    <w:pPr>
      <w:keepNext/>
      <w:jc w:val="center"/>
      <w:outlineLvl w:val="6"/>
    </w:pPr>
    <w:rPr>
      <w:b/>
      <w:sz w:val="24"/>
    </w:rPr>
  </w:style>
  <w:style w:type="paragraph" w:styleId="Ttulo8">
    <w:name w:val="heading 8"/>
    <w:basedOn w:val="Normal"/>
    <w:next w:val="Normal"/>
    <w:qFormat/>
    <w:pPr>
      <w:keepNext/>
      <w:ind w:firstLine="1134"/>
      <w:outlineLvl w:val="7"/>
    </w:pPr>
    <w:rPr>
      <w:sz w:val="24"/>
    </w:rPr>
  </w:style>
  <w:style w:type="paragraph" w:styleId="Ttulo9">
    <w:name w:val="heading 9"/>
    <w:basedOn w:val="Normal"/>
    <w:next w:val="Normal"/>
    <w:qFormat/>
    <w:pPr>
      <w:keepNext/>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MapadoDocumento">
    <w:name w:val="Document Map"/>
    <w:basedOn w:val="Normal"/>
    <w:semiHidden/>
    <w:pPr>
      <w:shd w:val="clear" w:color="auto" w:fill="000080"/>
    </w:pPr>
    <w:rPr>
      <w:rFonts w:ascii="Tahoma" w:hAnsi="Tahoma"/>
    </w:rPr>
  </w:style>
  <w:style w:type="paragraph" w:styleId="Rodap">
    <w:name w:val="footer"/>
    <w:basedOn w:val="Normal"/>
    <w:semiHidden/>
    <w:pPr>
      <w:tabs>
        <w:tab w:val="center" w:pos="4419"/>
        <w:tab w:val="right" w:pos="8838"/>
      </w:tabs>
    </w:pPr>
  </w:style>
  <w:style w:type="paragraph" w:styleId="Recuodecorpodetexto3">
    <w:name w:val="Body Text Indent 3"/>
    <w:basedOn w:val="Normal"/>
    <w:semiHidden/>
    <w:pPr>
      <w:ind w:left="1701"/>
      <w:jc w:val="both"/>
    </w:pPr>
    <w:rPr>
      <w:sz w:val="24"/>
    </w:rPr>
  </w:style>
  <w:style w:type="paragraph" w:styleId="Corpodetexto2">
    <w:name w:val="Body Text 2"/>
    <w:basedOn w:val="Normal"/>
    <w:semiHidden/>
    <w:rPr>
      <w:sz w:val="24"/>
    </w:rPr>
  </w:style>
  <w:style w:type="table" w:styleId="Tabelacomgrade">
    <w:name w:val="Table Grid"/>
    <w:basedOn w:val="Tabelanormal"/>
    <w:uiPriority w:val="39"/>
    <w:rsid w:val="00BD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2.camara.leg.br/legin/fed/decret/2026/decreto-12849-12-fevereiro-2026-798710-publicacaooriginal-178091-p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2.camara.leg.br/legin/fed/decret/2016/decreto-8876-13-outubro-2016-783766-publicacaooriginal-151245-pe.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2.camara.leg.br/legin/fed/decret/2016/decreto-8876-13-outubro-2016-783766-publicacaooriginal-151245-pe.html" TargetMode="External"/><Relationship Id="rId5" Type="http://schemas.openxmlformats.org/officeDocument/2006/relationships/footnotes" Target="footnotes.xml"/><Relationship Id="rId15" Type="http://schemas.openxmlformats.org/officeDocument/2006/relationships/hyperlink" Target="http://www2.camara.leg.br/legin/fed/ressen/2010/resolucao-44-30-agosto-2010-608197-norma-pl.html" TargetMode="External"/><Relationship Id="rId10" Type="http://schemas.openxmlformats.org/officeDocument/2006/relationships/hyperlink" Target="http://www2.camara.leg.br/legin/fed/decret/2016/decreto-8876-13-outubro-2016-783766-publicacaooriginal-151245-pe.html" TargetMode="External"/><Relationship Id="rId4" Type="http://schemas.openxmlformats.org/officeDocument/2006/relationships/webSettings" Target="webSettings.xml"/><Relationship Id="rId9" Type="http://schemas.openxmlformats.org/officeDocument/2006/relationships/hyperlink" Target="http://www2.camara.leg.br/legin/fed/decret/2001/decreto-3739-31-janeiro-2001-366114-publicacaooriginal-1-pe.html" TargetMode="External"/><Relationship Id="rId14" Type="http://schemas.openxmlformats.org/officeDocument/2006/relationships/hyperlink" Target="https://www2.camara.leg.br/legin/fed/decret/2026/decreto-12849-12-fevereiro-2026-798710-publicacaooriginal-178091-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3295</Words>
  <Characters>18620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21872</CharactersWithSpaces>
  <SharedDoc>false</SharedDoc>
  <HLinks>
    <vt:vector size="30" baseType="variant">
      <vt:variant>
        <vt:i4>6160456</vt:i4>
      </vt:variant>
      <vt:variant>
        <vt:i4>12</vt:i4>
      </vt:variant>
      <vt:variant>
        <vt:i4>0</vt:i4>
      </vt:variant>
      <vt:variant>
        <vt:i4>5</vt:i4>
      </vt:variant>
      <vt:variant>
        <vt:lpwstr>http://www2.camara.leg.br/legin/fed/ressen/2010/resolucao-44-30-agosto-2010-608197-norma-pl.html</vt:lpwstr>
      </vt:variant>
      <vt:variant>
        <vt:lpwstr/>
      </vt:variant>
      <vt:variant>
        <vt:i4>393302</vt:i4>
      </vt:variant>
      <vt:variant>
        <vt:i4>9</vt:i4>
      </vt:variant>
      <vt:variant>
        <vt:i4>0</vt:i4>
      </vt:variant>
      <vt:variant>
        <vt:i4>5</vt:i4>
      </vt:variant>
      <vt:variant>
        <vt:lpwstr>http://www2.camara.leg.br/legin/fed/decret/2016/decreto-8876-13-outubro-2016-783766-publicacaooriginal-151245-pe.html</vt:lpwstr>
      </vt:variant>
      <vt:variant>
        <vt:lpwstr/>
      </vt:variant>
      <vt:variant>
        <vt:i4>393302</vt:i4>
      </vt:variant>
      <vt:variant>
        <vt:i4>6</vt:i4>
      </vt:variant>
      <vt:variant>
        <vt:i4>0</vt:i4>
      </vt:variant>
      <vt:variant>
        <vt:i4>5</vt:i4>
      </vt:variant>
      <vt:variant>
        <vt:lpwstr>http://www2.camara.leg.br/legin/fed/decret/2016/decreto-8876-13-outubro-2016-783766-publicacaooriginal-151245-pe.html</vt:lpwstr>
      </vt:variant>
      <vt:variant>
        <vt:lpwstr/>
      </vt:variant>
      <vt:variant>
        <vt:i4>393302</vt:i4>
      </vt:variant>
      <vt:variant>
        <vt:i4>3</vt:i4>
      </vt:variant>
      <vt:variant>
        <vt:i4>0</vt:i4>
      </vt:variant>
      <vt:variant>
        <vt:i4>5</vt:i4>
      </vt:variant>
      <vt:variant>
        <vt:lpwstr>http://www2.camara.leg.br/legin/fed/decret/2016/decreto-8876-13-outubro-2016-783766-publicacaooriginal-151245-pe.html</vt:lpwstr>
      </vt:variant>
      <vt:variant>
        <vt:lpwstr/>
      </vt:variant>
      <vt:variant>
        <vt:i4>917526</vt:i4>
      </vt:variant>
      <vt:variant>
        <vt:i4>0</vt:i4>
      </vt:variant>
      <vt:variant>
        <vt:i4>0</vt:i4>
      </vt:variant>
      <vt:variant>
        <vt:i4>5</vt:i4>
      </vt:variant>
      <vt:variant>
        <vt:lpwstr>http://www2.camara.leg.br/legin/fed/decret/2001/decreto-3739-31-janeiro-2001-366114-publicacaooriginal-1-pe.html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dc:description/>
  <cp:lastModifiedBy>Alexandre Pereira Pinheiro</cp:lastModifiedBy>
  <cp:revision>4</cp:revision>
  <cp:lastPrinted>2008-12-15T15:24:00Z</cp:lastPrinted>
  <dcterms:created xsi:type="dcterms:W3CDTF">2025-11-21T14:42:00Z</dcterms:created>
  <dcterms:modified xsi:type="dcterms:W3CDTF">2026-02-13T14:11:00Z</dcterms:modified>
</cp:coreProperties>
</file>