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19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Pr="0083457A" w:rsidRDefault="00B22D59" w:rsidP="0083457A">
      <w:pPr>
        <w:pStyle w:val="Cabealho"/>
        <w:jc w:val="center"/>
        <w:rPr>
          <w:b/>
          <w:sz w:val="28"/>
          <w:szCs w:val="28"/>
        </w:rPr>
      </w:pPr>
      <w:r w:rsidRPr="0083457A">
        <w:rPr>
          <w:b/>
          <w:sz w:val="28"/>
          <w:szCs w:val="28"/>
        </w:rPr>
        <w:t xml:space="preserve">ATO CONJUNTO </w:t>
      </w:r>
      <w:r w:rsidR="0083457A">
        <w:rPr>
          <w:b/>
          <w:sz w:val="28"/>
          <w:szCs w:val="28"/>
        </w:rPr>
        <w:t xml:space="preserve">DAS MESAS DA CÂMARA DOS DEPUTADOS E DO SENADO FEDERAL </w:t>
      </w:r>
      <w:r w:rsidRPr="0083457A">
        <w:rPr>
          <w:b/>
          <w:sz w:val="28"/>
          <w:szCs w:val="28"/>
        </w:rPr>
        <w:t>Nº 1, DE 2021</w:t>
      </w: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left="4536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Dispõe sobre procedimentos para assegurar maior publicidade e transparência à execução orçamentária das despesas classificadas com indicador de Resultado Primário (RP) 9 (despesas discricionárias decorrentes de emenda de Relator-Geral). </w:t>
      </w: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As Mesas da Câmara dos Deputados e do Senado Federal,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a medida cautelar deferida nos autos das Arguições de Descumprimento de Preceito Fundamental n. 850, 851e 854, referendada pelo Plenário do Supremo Tribunal Federal em julgamento virtual realizado nos dias 9 e 10 de novembro de 2021;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a necessidade de dar cumprimento à decisão judicial e garantir maior publicidade e transparência à execução orçamentária das despesas classificadas com o indicador de Resultado Primário (RP) 9 (despesa discricionária decorrente de emenda de relator-geral) das Leis Orçamentárias Anuais de 2020 e 2021;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o procedimento observado na execução orçamentária do indicador de Resultado Primário (RP) 9 pelos Poderes Legislativo e Executivo;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que as regras dispostas na Portaria Interministerial ME/SEGOV-PR nº 6.145, de 24 de maio de 2021, que estabelecem os procedimentos para operacionalização das emendas de Relator-Geral, estão sendo cumpridas pelos Poderes Executivo e Legislativo;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a não exigência e a inexistência de procedimento preestabelecido por Lei para registro formal das milhares de demandas recebidas pelo Relator-Geral com sugestão de alocação de recursos por parte de parlamentares, prefeitos, governadores, Ministros de Estado, associações, cidadãos, formuladas no dia a dia do exercício dinâmico do mandato;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a impossibilidade fática de se estabelecer retroativamente um procedimento para registro das demandas referidas no item anterior;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lastRenderedPageBreak/>
        <w:t xml:space="preserve">CONSIDERANDO que as Leis Orçamentárias Anuais de 2020 e 2021 foram aprovadas pela maioria dos membros de ambas as Casas do Congresso prevendo a alocação de recursos para despesas classificadas com o indicador de Resultado Primário (RP) 9, de forma a conferir-lhe legitimidade democrática e jurídica;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que o Decreto n. 10.699, de 14 de maio de 2021, fixa o prazo de 3 de dezembro de 2021 para que as autoridades responsáveis indiquem os montantes dos cronogramas de pagamento que serão utilizados até o final do exercício financeiro, sendo operacionalmente inviável a execução dos valores ora bloqueados após essa data;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o risco grave, iminente e irreparável decorrente da não execução orçamentária das despesas classificadas com indicador de Resultado Primário (RP) 9 ( despesa discricionária decorrente de emenda de Relator-Geral) até o final do exercício financeiro de 2021: R$ 7.510.000.000,00 relacionados à Saúde; R$ 5.740.375.751,00 ao Desenvolvimento Regional; R$ 781.514.586,00 à Educação; R$ 1.262.845.411,00 à Agricultura, Pecuária e Abastecimento; R$ 795.264.252,00 à Cidadania; R$ 350.000.000,00 à Defesa; R$ 350.000.000,00 à Economia; e R$ 75.000.000,00 à Ciência, Tecnologia e Inovações; com grave prejuízo a serviços e obras empenhados ou em andamento, e com desperdício de recursos públicos decorrentes de sua paralisação.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CONSIDERANDO a insegurança jurídica e o risco de judicialização em larga escala das relações jurídicas constituídas a partir da execução orçamentária das despesas classificadas com indicador de Resultado Primário (RP) 9 em face da suspensão determinada judicialmente, resolvem: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Art. 1º Este Ato Conjunto dispõe sobre os procedimentos para assegurar maior publicidade e transparência à execução orçamentária das despesas classificadas com indicador de Resultado Primário (RP) 9 (despesa discricionária decorrente de emenda de Relator-Geral) das Leis Orçamentárias Anuais de 2020 e de 2021.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>Art. 2º</w:t>
      </w:r>
      <w:r w:rsidR="00553DC1">
        <w:rPr>
          <w:sz w:val="24"/>
          <w:szCs w:val="24"/>
        </w:rPr>
        <w:t xml:space="preserve"> </w:t>
      </w:r>
      <w:r w:rsidRPr="00B22D59">
        <w:rPr>
          <w:sz w:val="24"/>
          <w:szCs w:val="24"/>
        </w:rPr>
        <w:t xml:space="preserve">O detalhamento da execução orçamentária das despesas a que se refere o art. 1 º, até a data de publicação deste Ato Conjunto, será publicado no Diário da Câmara dos Deputados e no Diário do Senado Federal, por emenda, órgão orçamentário, dotação atualizada, empenhada, liquidada e paga, conforme Anexo I.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>Art. 3º</w:t>
      </w:r>
      <w:r w:rsidR="00553DC1">
        <w:rPr>
          <w:sz w:val="24"/>
          <w:szCs w:val="24"/>
        </w:rPr>
        <w:t xml:space="preserve"> </w:t>
      </w:r>
      <w:r w:rsidRPr="00B22D59">
        <w:rPr>
          <w:sz w:val="24"/>
          <w:szCs w:val="24"/>
        </w:rPr>
        <w:t xml:space="preserve">A Comissão Mista de Planos, Orçamentos Públicos e Fiscalização acompanhará a execução orçamentária das despesas classificadas com indicador de Resultado Primário (RP) 9 constantes da Lei Orçamentária Anual de 2021 e adotará as providências necessárias para assegurar ampla publicidade e transparência em relação a cada emenda indicada pelo Relator-Geral, mediante: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I - disponibilização de relatórios atualizados periodicamente com a execução orçamentária por emenda de Relator-Geral, contendo a identificação do beneficiário, do instrumento jurídico, dos valores empenhados, liquidados e pagos, conforme Anexo II;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II - disponibilização de relatório atualizado periodicamente com a execução orçamentária por emenda de Relator-Geral, contendo a identificação do beneficiário, do instrumento jurídico, do objeto e das respectivas notas de empenho, conforme Anexo III;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lastRenderedPageBreak/>
        <w:t xml:space="preserve">III - disponibilização de relatório atualizado periodicamente com a identificação dos entes subnacionais beneficiários das programações com o indicador de Resultado Primário nº 09 da Leis Orçamentárias Anuais de 2020 e de 2021, e os partidos políticos de seus governantes em exercício (Governadores e Prefeitos), conforme Anexo IV;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IV - </w:t>
      </w:r>
      <w:r w:rsidRPr="00553DC1">
        <w:rPr>
          <w:i/>
          <w:sz w:val="24"/>
          <w:szCs w:val="24"/>
        </w:rPr>
        <w:t>link</w:t>
      </w:r>
      <w:r w:rsidRPr="00B22D59">
        <w:rPr>
          <w:sz w:val="24"/>
          <w:szCs w:val="24"/>
        </w:rPr>
        <w:t xml:space="preserve"> de acesso à consulta personalizada na Plataforma Mais Brasil, que permite o acompanhamento da execução orçamentária das emendas do relator-geral e demais recursos decorrentes de transferências voluntárias da União, por meio de diversos filtros, tais como ano da proposta, Unidade da Federação, Município, Órgão Superior e situação do convênio ou da proposta;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CB46D9" w:rsidRDefault="00B22D59" w:rsidP="0083457A">
      <w:pPr>
        <w:pStyle w:val="Cabealho"/>
        <w:ind w:firstLine="1134"/>
        <w:jc w:val="both"/>
        <w:rPr>
          <w:i/>
          <w:sz w:val="24"/>
          <w:szCs w:val="24"/>
        </w:rPr>
      </w:pPr>
      <w:r w:rsidRPr="00B22D59">
        <w:rPr>
          <w:sz w:val="24"/>
          <w:szCs w:val="24"/>
        </w:rPr>
        <w:t xml:space="preserve">Art. 4º As solicitações que fundamentam as indicações a serem realizadas pelo Relator-Geral, a partir da vigência deste Ato Conjunto, serão publicadas em sítio eletrônico pela Comissão Mista de Planos, Orçamentos Públicos e Fiscalização e encaminhadas ao Poder Executivo. </w:t>
      </w:r>
      <w:r w:rsidR="00CB46D9" w:rsidRPr="00CB46D9">
        <w:rPr>
          <w:i/>
          <w:color w:val="0000FF"/>
          <w:sz w:val="24"/>
          <w:szCs w:val="24"/>
        </w:rPr>
        <w:t>(Artigo declarado inconstitucional, em controle concentrado, pelo Supremo Tribunal Federal, nas ADPFs nºs</w:t>
      </w:r>
      <w:r w:rsidR="00CB46D9">
        <w:rPr>
          <w:i/>
          <w:sz w:val="24"/>
          <w:szCs w:val="24"/>
        </w:rPr>
        <w:t xml:space="preserve"> </w:t>
      </w:r>
      <w:hyperlink r:id="rId7" w:history="1">
        <w:r w:rsidR="00CB46D9" w:rsidRPr="00CB46D9">
          <w:rPr>
            <w:rStyle w:val="Hyperlink"/>
            <w:i/>
            <w:sz w:val="24"/>
            <w:szCs w:val="24"/>
          </w:rPr>
          <w:t>850,</w:t>
        </w:r>
      </w:hyperlink>
      <w:r w:rsidR="00CB46D9">
        <w:rPr>
          <w:i/>
          <w:sz w:val="24"/>
          <w:szCs w:val="24"/>
        </w:rPr>
        <w:t xml:space="preserve"> </w:t>
      </w:r>
      <w:hyperlink r:id="rId8" w:history="1">
        <w:r w:rsidR="00CB46D9" w:rsidRPr="00CB46D9">
          <w:rPr>
            <w:rStyle w:val="Hyperlink"/>
            <w:i/>
            <w:sz w:val="24"/>
            <w:szCs w:val="24"/>
          </w:rPr>
          <w:t>851,</w:t>
        </w:r>
      </w:hyperlink>
      <w:r w:rsidR="00CB46D9">
        <w:rPr>
          <w:i/>
          <w:sz w:val="24"/>
          <w:szCs w:val="24"/>
        </w:rPr>
        <w:t xml:space="preserve"> </w:t>
      </w:r>
      <w:hyperlink r:id="rId9" w:history="1">
        <w:r w:rsidR="00CB46D9" w:rsidRPr="00CB46D9">
          <w:rPr>
            <w:rStyle w:val="Hyperlink"/>
            <w:i/>
            <w:sz w:val="24"/>
            <w:szCs w:val="24"/>
          </w:rPr>
          <w:t>854</w:t>
        </w:r>
      </w:hyperlink>
      <w:r w:rsidR="00CB46D9">
        <w:rPr>
          <w:i/>
          <w:sz w:val="24"/>
          <w:szCs w:val="24"/>
        </w:rPr>
        <w:t xml:space="preserve"> </w:t>
      </w:r>
      <w:r w:rsidR="00CB46D9" w:rsidRPr="00CB46D9">
        <w:rPr>
          <w:i/>
          <w:color w:val="0000FF"/>
          <w:sz w:val="24"/>
          <w:szCs w:val="24"/>
        </w:rPr>
        <w:t>e</w:t>
      </w:r>
      <w:r w:rsidR="00CB46D9">
        <w:rPr>
          <w:i/>
          <w:sz w:val="24"/>
          <w:szCs w:val="24"/>
        </w:rPr>
        <w:t xml:space="preserve"> </w:t>
      </w:r>
      <w:hyperlink r:id="rId10" w:history="1">
        <w:r w:rsidR="00CB46D9" w:rsidRPr="00CB46D9">
          <w:rPr>
            <w:rStyle w:val="Hyperlink"/>
            <w:i/>
            <w:sz w:val="24"/>
            <w:szCs w:val="24"/>
          </w:rPr>
          <w:t>1.014</w:t>
        </w:r>
      </w:hyperlink>
      <w:r w:rsidR="00CB46D9" w:rsidRPr="00CB46D9">
        <w:rPr>
          <w:i/>
          <w:sz w:val="24"/>
          <w:szCs w:val="24"/>
        </w:rPr>
        <w:t xml:space="preserve">, </w:t>
      </w:r>
      <w:r w:rsidR="00CB46D9" w:rsidRPr="00CB46D9">
        <w:rPr>
          <w:i/>
          <w:color w:val="0000FF"/>
          <w:sz w:val="24"/>
          <w:szCs w:val="24"/>
        </w:rPr>
        <w:t>publicadas no DOU de 3/2/2023)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>Art. 5º</w:t>
      </w:r>
      <w:r w:rsidR="00553DC1">
        <w:rPr>
          <w:sz w:val="24"/>
          <w:szCs w:val="24"/>
        </w:rPr>
        <w:t xml:space="preserve"> </w:t>
      </w:r>
      <w:r w:rsidRPr="00B22D59">
        <w:rPr>
          <w:sz w:val="24"/>
          <w:szCs w:val="24"/>
        </w:rPr>
        <w:t xml:space="preserve">Os Anexos I, II, III e IV integram este Ato Conjunto e serão adotados como padrão para o seu cumprimento.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>Art. 6º</w:t>
      </w:r>
      <w:r w:rsidR="00553DC1">
        <w:rPr>
          <w:sz w:val="24"/>
          <w:szCs w:val="24"/>
        </w:rPr>
        <w:t xml:space="preserve"> </w:t>
      </w:r>
      <w:r w:rsidRPr="00B22D59">
        <w:rPr>
          <w:sz w:val="24"/>
          <w:szCs w:val="24"/>
        </w:rPr>
        <w:t xml:space="preserve">A exigência constante do art. 4° será submetida a referendo do Congresso Nacional por meio do Projeto de Resolução, constante do Anexo V, que altera a Resolução do Congresso Nacional nº 01, de 2006.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>Art. 7º</w:t>
      </w:r>
      <w:r w:rsidR="00553DC1">
        <w:rPr>
          <w:sz w:val="24"/>
          <w:szCs w:val="24"/>
        </w:rPr>
        <w:t xml:space="preserve"> </w:t>
      </w:r>
      <w:r w:rsidRPr="00B22D59">
        <w:rPr>
          <w:sz w:val="24"/>
          <w:szCs w:val="24"/>
        </w:rPr>
        <w:t>Este Ato entra em vigor na data de sua publicação.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Brasília, em de novembro de 2021 </w:t>
      </w:r>
    </w:p>
    <w:p w:rsidR="00B22D59" w:rsidRPr="00B22D59" w:rsidRDefault="00B22D59" w:rsidP="0083457A">
      <w:pPr>
        <w:pStyle w:val="Cabealho"/>
        <w:ind w:firstLine="1134"/>
        <w:jc w:val="both"/>
        <w:rPr>
          <w:sz w:val="24"/>
          <w:szCs w:val="24"/>
        </w:rPr>
      </w:pP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  <w:r w:rsidRPr="00B22D59">
        <w:rPr>
          <w:sz w:val="24"/>
          <w:szCs w:val="24"/>
        </w:rPr>
        <w:t xml:space="preserve">Assinam os seguintes integrantes das Mesas do Senado Federa e da Câmara dos Deputados: </w:t>
      </w:r>
    </w:p>
    <w:p w:rsidR="00B22D59" w:rsidRPr="00B22D59" w:rsidRDefault="00B22D59" w:rsidP="00B22D59">
      <w:pPr>
        <w:pStyle w:val="Cabealho"/>
        <w:jc w:val="both"/>
        <w:rPr>
          <w:sz w:val="24"/>
          <w:szCs w:val="24"/>
        </w:rPr>
      </w:pPr>
    </w:p>
    <w:p w:rsidR="00B22D59" w:rsidRDefault="00B22D59" w:rsidP="00B22D59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680976" w:rsidRPr="006674D5" w:rsidTr="006674D5"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RODRIGO PACHECO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Presidente do Senado Federal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53DC1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VENEZIANO VITAL DO RÊGO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1º Vice-Presidente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ROMÁRIO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2º Vice-Presidente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53DC1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IRAJÁ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1º Secretário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ELMANO FÉRRER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2º Secretário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53DC1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ROGÉRIO CARVALHO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3º Secretário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WEVERTON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4º Secretário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53DC1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ZEQUINHA MARINHO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Suplente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Senadora ELIZIANE GAMA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Suplente</w:t>
            </w:r>
          </w:p>
          <w:p w:rsidR="00553DC1" w:rsidRPr="006674D5" w:rsidRDefault="00553DC1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80976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JORGUNHO MELLO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Suplente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</w:tbl>
    <w:p w:rsidR="00553DC1" w:rsidRDefault="00553DC1" w:rsidP="00B22D59">
      <w:pPr>
        <w:pStyle w:val="Cabealho"/>
        <w:jc w:val="both"/>
        <w:rPr>
          <w:sz w:val="24"/>
          <w:szCs w:val="24"/>
        </w:rPr>
      </w:pPr>
    </w:p>
    <w:p w:rsidR="00680976" w:rsidRDefault="00680976" w:rsidP="00B22D59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680976" w:rsidRPr="006674D5" w:rsidTr="006674D5"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Deputado ARTHUR LIRA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Presidente da Câmara dos Deputados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80976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Deputado MARCELO RAMOS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1º Vice-Presidente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Deputado ANDRÉ DE PAULA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2º Vice-Presidente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80976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Senador LUCIANO BIVAR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1º Secretário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Deputada MARÍLIA ARRAES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2ª Secretária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80976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Deputada ROSE MODESTO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3ª Secretária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Deputado ROSÂNGELA GOMES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4ª Secretária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80976" w:rsidRPr="006674D5" w:rsidTr="006674D5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Deputado EDUARDO BISMARCK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  <w:r w:rsidRPr="006674D5">
              <w:rPr>
                <w:sz w:val="24"/>
                <w:szCs w:val="24"/>
              </w:rPr>
              <w:t>1º Suplente</w:t>
            </w:r>
          </w:p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976" w:rsidRPr="006674D5" w:rsidRDefault="00680976" w:rsidP="006674D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</w:tbl>
    <w:p w:rsidR="00B22D59" w:rsidRDefault="00B22D59" w:rsidP="00B22D59">
      <w:pPr>
        <w:pStyle w:val="Cabealho"/>
        <w:jc w:val="both"/>
        <w:rPr>
          <w:sz w:val="24"/>
          <w:szCs w:val="24"/>
        </w:rPr>
      </w:pPr>
    </w:p>
    <w:p w:rsidR="00680976" w:rsidRPr="00B22D59" w:rsidRDefault="00680976" w:rsidP="00B22D59">
      <w:pPr>
        <w:pStyle w:val="Cabealho"/>
        <w:jc w:val="both"/>
        <w:rPr>
          <w:sz w:val="24"/>
          <w:szCs w:val="24"/>
        </w:rPr>
      </w:pPr>
    </w:p>
    <w:p w:rsidR="00B22D59" w:rsidRPr="00B22D59" w:rsidRDefault="00680976" w:rsidP="00680976">
      <w:pPr>
        <w:pStyle w:val="Cabealho"/>
        <w:jc w:val="center"/>
        <w:rPr>
          <w:sz w:val="24"/>
          <w:szCs w:val="24"/>
        </w:rPr>
      </w:pPr>
      <w:hyperlink r:id="rId11" w:history="1">
        <w:r w:rsidRPr="00680976">
          <w:rPr>
            <w:rStyle w:val="Hyperlink"/>
            <w:sz w:val="24"/>
            <w:szCs w:val="24"/>
          </w:rPr>
          <w:t>ANEXO I</w:t>
        </w:r>
      </w:hyperlink>
    </w:p>
    <w:p w:rsidR="00B22D59" w:rsidRDefault="00B22D59" w:rsidP="00680976">
      <w:pPr>
        <w:pStyle w:val="Cabealho"/>
        <w:jc w:val="center"/>
        <w:rPr>
          <w:sz w:val="24"/>
          <w:szCs w:val="24"/>
        </w:rPr>
      </w:pPr>
    </w:p>
    <w:p w:rsidR="00CB46D9" w:rsidRPr="00B22D59" w:rsidRDefault="00CB46D9" w:rsidP="00680976">
      <w:pPr>
        <w:pStyle w:val="Cabealho"/>
        <w:jc w:val="center"/>
        <w:rPr>
          <w:sz w:val="24"/>
          <w:szCs w:val="24"/>
        </w:rPr>
      </w:pPr>
    </w:p>
    <w:p w:rsidR="00B22D59" w:rsidRPr="00B22D59" w:rsidRDefault="00680976" w:rsidP="00680976">
      <w:pPr>
        <w:pStyle w:val="Cabealho"/>
        <w:jc w:val="center"/>
        <w:rPr>
          <w:sz w:val="24"/>
          <w:szCs w:val="24"/>
        </w:rPr>
      </w:pPr>
      <w:hyperlink r:id="rId12" w:history="1">
        <w:r w:rsidRPr="00680976">
          <w:rPr>
            <w:rStyle w:val="Hyperlink"/>
            <w:sz w:val="24"/>
            <w:szCs w:val="24"/>
          </w:rPr>
          <w:t>ANEXO II</w:t>
        </w:r>
      </w:hyperlink>
    </w:p>
    <w:p w:rsidR="00B22D59" w:rsidRDefault="00B22D59" w:rsidP="00680976">
      <w:pPr>
        <w:pStyle w:val="Cabealho"/>
        <w:jc w:val="center"/>
        <w:rPr>
          <w:sz w:val="24"/>
          <w:szCs w:val="24"/>
        </w:rPr>
      </w:pPr>
    </w:p>
    <w:p w:rsidR="00CB46D9" w:rsidRPr="00B22D59" w:rsidRDefault="00CB46D9" w:rsidP="00680976">
      <w:pPr>
        <w:pStyle w:val="Cabealho"/>
        <w:jc w:val="center"/>
        <w:rPr>
          <w:sz w:val="24"/>
          <w:szCs w:val="24"/>
        </w:rPr>
      </w:pPr>
    </w:p>
    <w:p w:rsidR="00B22D59" w:rsidRPr="00B22D59" w:rsidRDefault="00680976" w:rsidP="00680976">
      <w:pPr>
        <w:pStyle w:val="Cabealho"/>
        <w:jc w:val="center"/>
        <w:rPr>
          <w:sz w:val="24"/>
          <w:szCs w:val="24"/>
        </w:rPr>
      </w:pPr>
      <w:hyperlink r:id="rId13" w:history="1">
        <w:r w:rsidRPr="00680976">
          <w:rPr>
            <w:rStyle w:val="Hyperlink"/>
            <w:sz w:val="24"/>
            <w:szCs w:val="24"/>
          </w:rPr>
          <w:t>ANEXO III</w:t>
        </w:r>
      </w:hyperlink>
    </w:p>
    <w:p w:rsidR="00B22D59" w:rsidRDefault="00B22D59" w:rsidP="00680976">
      <w:pPr>
        <w:pStyle w:val="Cabealho"/>
        <w:jc w:val="center"/>
        <w:rPr>
          <w:sz w:val="24"/>
          <w:szCs w:val="24"/>
        </w:rPr>
      </w:pPr>
    </w:p>
    <w:p w:rsidR="00CB46D9" w:rsidRPr="00B22D59" w:rsidRDefault="00CB46D9" w:rsidP="00680976">
      <w:pPr>
        <w:pStyle w:val="Cabealho"/>
        <w:jc w:val="center"/>
        <w:rPr>
          <w:sz w:val="24"/>
          <w:szCs w:val="24"/>
        </w:rPr>
      </w:pPr>
    </w:p>
    <w:p w:rsidR="00200BE4" w:rsidRDefault="00CB46D9" w:rsidP="00680976">
      <w:pPr>
        <w:pStyle w:val="Cabealho"/>
        <w:jc w:val="center"/>
        <w:rPr>
          <w:sz w:val="24"/>
          <w:szCs w:val="24"/>
        </w:rPr>
      </w:pPr>
      <w:hyperlink r:id="rId14" w:history="1">
        <w:r w:rsidR="00680976" w:rsidRPr="00CB46D9">
          <w:rPr>
            <w:rStyle w:val="Hyperlink"/>
            <w:sz w:val="24"/>
            <w:szCs w:val="24"/>
          </w:rPr>
          <w:t>ANEXO IV</w:t>
        </w:r>
      </w:hyperlink>
    </w:p>
    <w:p w:rsidR="00CB46D9" w:rsidRDefault="00CB46D9" w:rsidP="00680976">
      <w:pPr>
        <w:pStyle w:val="Cabealho"/>
        <w:jc w:val="center"/>
        <w:rPr>
          <w:sz w:val="24"/>
          <w:szCs w:val="24"/>
        </w:rPr>
      </w:pPr>
    </w:p>
    <w:p w:rsidR="00CB46D9" w:rsidRDefault="00CB46D9" w:rsidP="00680976">
      <w:pPr>
        <w:pStyle w:val="Cabealho"/>
        <w:jc w:val="center"/>
        <w:rPr>
          <w:sz w:val="24"/>
          <w:szCs w:val="24"/>
        </w:rPr>
      </w:pPr>
    </w:p>
    <w:p w:rsidR="00CB46D9" w:rsidRDefault="00CB46D9" w:rsidP="00680976">
      <w:pPr>
        <w:pStyle w:val="Cabealho"/>
        <w:jc w:val="center"/>
        <w:rPr>
          <w:sz w:val="24"/>
          <w:szCs w:val="24"/>
        </w:rPr>
      </w:pPr>
      <w:hyperlink r:id="rId15" w:history="1">
        <w:r w:rsidRPr="00CB46D9">
          <w:rPr>
            <w:rStyle w:val="Hyperlink"/>
            <w:sz w:val="24"/>
            <w:szCs w:val="24"/>
          </w:rPr>
          <w:t>ANEXO V</w:t>
        </w:r>
      </w:hyperlink>
    </w:p>
    <w:sectPr w:rsidR="00CB46D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5F6C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53DC1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674D5"/>
    <w:rsid w:val="00680976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3457A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2D59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46D9"/>
    <w:rsid w:val="00CB7ABD"/>
    <w:rsid w:val="00CC0A60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7F03FA-3D38-4628-B03A-32BCD9AE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table" w:styleId="Tabelacomgrade">
    <w:name w:val="Table Grid"/>
    <w:basedOn w:val="Tabelanormal"/>
    <w:uiPriority w:val="59"/>
    <w:rsid w:val="0055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f.jus.br/processos/detalhe.asp?incidente=6194438" TargetMode="External"/><Relationship Id="rId13" Type="http://schemas.openxmlformats.org/officeDocument/2006/relationships/hyperlink" Target="https://www2.camara.leg.br/legin/fed/atocon/2021/atoconjunto-1-25-novembro-2021-792047-anexoiii-c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stf.jus.br/processos/detalhe.asp?incidente=6193240" TargetMode="External"/><Relationship Id="rId12" Type="http://schemas.openxmlformats.org/officeDocument/2006/relationships/hyperlink" Target="https://www2.camara.leg.br/legin/fed/atocon/2021/atoconjunto-1-25-novembro-2021-792047-anexoii-c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atocon/2021/atoconjunto-1-25-novembro-2021-792047-anexoi-cn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atocon/2021/atoconjunto-1-25-novembro-2021-792047-anexov-cn.pdf" TargetMode="External"/><Relationship Id="rId10" Type="http://schemas.openxmlformats.org/officeDocument/2006/relationships/hyperlink" Target="https://portal.stf.jus.br/processos/detalhe.asp?incidente=6492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tf.jus.br/processos/detalhe.asp?incidente=6199750" TargetMode="External"/><Relationship Id="rId14" Type="http://schemas.openxmlformats.org/officeDocument/2006/relationships/hyperlink" Target="https://www2.camara.leg.br/legin/fed/atocon/2021/atoconjunto-1-25-novembro-2021-792047-anexoiv-cn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8410</CharactersWithSpaces>
  <SharedDoc>false</SharedDoc>
  <HLinks>
    <vt:vector size="54" baseType="variant">
      <vt:variant>
        <vt:i4>1638469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https://www2.camara.leg.br/legin/fed/atocon/2021/atoconjunto-1-25-novembro-2021-792047-anexov-cn.pdf</vt:lpwstr>
      </vt:variant>
      <vt:variant>
        <vt:lpwstr/>
      </vt:variant>
      <vt:variant>
        <vt:i4>1245248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https://www2.camara.leg.br/legin/fed/atocon/2021/atoconjunto-1-25-novembro-2021-792047-anexoiv-cn.pdf</vt:lpwstr>
      </vt:variant>
      <vt:variant>
        <vt:lpwstr/>
      </vt:variant>
      <vt:variant>
        <vt:i4>7340083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https://www2.camara.leg.br/legin/fed/atocon/2021/atoconjunto-1-25-novembro-2021-792047-anexoiii-cn.pdf</vt:lpwstr>
      </vt:variant>
      <vt:variant>
        <vt:lpwstr/>
      </vt:variant>
      <vt:variant>
        <vt:i4>786496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https://www2.camara.leg.br/legin/fed/atocon/2021/atoconjunto-1-25-novembro-2021-792047-anexoii-cn.pdf</vt:lpwstr>
      </vt:variant>
      <vt:variant>
        <vt:lpwstr/>
      </vt:variant>
      <vt:variant>
        <vt:i4>1638490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https://www2.camara.leg.br/legin/fed/atocon/2021/atoconjunto-1-25-novembro-2021-792047-anexoi-cn.pdf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https://portal.stf.jus.br/processos/detalhe.asp?incidente=6492811</vt:lpwstr>
      </vt:variant>
      <vt:variant>
        <vt:lpwstr/>
      </vt:variant>
      <vt:variant>
        <vt:i4>1900625</vt:i4>
      </vt:variant>
      <vt:variant>
        <vt:i4>6</vt:i4>
      </vt:variant>
      <vt:variant>
        <vt:i4>0</vt:i4>
      </vt:variant>
      <vt:variant>
        <vt:i4>5</vt:i4>
      </vt:variant>
      <vt:variant>
        <vt:lpwstr>https://portal.stf.jus.br/processos/detalhe.asp?incidente=6199750</vt:lpwstr>
      </vt:variant>
      <vt:variant>
        <vt:lpwstr/>
      </vt:variant>
      <vt:variant>
        <vt:i4>1441874</vt:i4>
      </vt:variant>
      <vt:variant>
        <vt:i4>3</vt:i4>
      </vt:variant>
      <vt:variant>
        <vt:i4>0</vt:i4>
      </vt:variant>
      <vt:variant>
        <vt:i4>5</vt:i4>
      </vt:variant>
      <vt:variant>
        <vt:lpwstr>https://portal.stf.jus.br/processos/detalhe.asp?incidente=6194438</vt:lpwstr>
      </vt:variant>
      <vt:variant>
        <vt:lpwstr/>
      </vt:variant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https://portal.stf.jus.br/processos/detalhe.asp?incidente=6193240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2025-11-20T17:30:00Z</dcterms:created>
  <dcterms:modified xsi:type="dcterms:W3CDTF">2025-11-20T17:30:00Z</dcterms:modified>
</cp:coreProperties>
</file>