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A64" w:rsidRPr="00F212AB" w:rsidRDefault="001336B8" w:rsidP="00F212AB">
      <w:pPr>
        <w:pStyle w:val="Ttulo1"/>
        <w:ind w:firstLine="0"/>
        <w:jc w:val="center"/>
      </w:pPr>
      <w:r w:rsidRPr="00F212AB">
        <w:t xml:space="preserve">Diligência </w:t>
      </w:r>
      <w:r w:rsidR="006F2DA1">
        <w:t>para verificar a situação dos quilombolas atingidos pelo Centro de Lançamento de Alcântara</w:t>
      </w:r>
    </w:p>
    <w:p w:rsidR="001336B8" w:rsidRPr="00FB26EB" w:rsidRDefault="006F2DA1" w:rsidP="001336B8">
      <w:pPr>
        <w:ind w:firstLine="0"/>
        <w:jc w:val="center"/>
      </w:pPr>
      <w:r>
        <w:t>4 e 5</w:t>
      </w:r>
      <w:r w:rsidR="001336B8">
        <w:t xml:space="preserve"> de ju</w:t>
      </w:r>
      <w:r w:rsidR="00043BD4">
        <w:t>l</w:t>
      </w:r>
      <w:r w:rsidR="001336B8">
        <w:t>ho de 2019</w:t>
      </w:r>
    </w:p>
    <w:p w:rsidR="001336B8" w:rsidRDefault="001336B8" w:rsidP="001336B8">
      <w:pPr>
        <w:ind w:firstLine="0"/>
        <w:jc w:val="center"/>
      </w:pPr>
      <w:r>
        <w:t>Relatório</w:t>
      </w:r>
    </w:p>
    <w:p w:rsidR="003B39A7" w:rsidRDefault="003B39A7" w:rsidP="001336B8">
      <w:pPr>
        <w:ind w:firstLine="0"/>
        <w:jc w:val="center"/>
      </w:pPr>
    </w:p>
    <w:p w:rsidR="00626566" w:rsidRDefault="00626566" w:rsidP="00626566">
      <w:pPr>
        <w:pStyle w:val="Ttulo1"/>
        <w:ind w:firstLine="0"/>
      </w:pPr>
      <w:r>
        <w:t>Parte I – Descrição da diligência</w:t>
      </w:r>
    </w:p>
    <w:p w:rsidR="000D4685" w:rsidRDefault="00390BFB" w:rsidP="000D4685">
      <w:pPr>
        <w:pStyle w:val="Ttulo2"/>
      </w:pPr>
      <w:r>
        <w:t>Objetivo</w:t>
      </w:r>
    </w:p>
    <w:p w:rsidR="006F2DA1" w:rsidRDefault="00846E96" w:rsidP="00846E96">
      <w:r>
        <w:t>Verificar a situação dos quilombolas atingidos pelo Centro de Lançamento de Alcântara,</w:t>
      </w:r>
      <w:r>
        <w:t xml:space="preserve"> </w:t>
      </w:r>
      <w:r>
        <w:t>seja dos afetados pela remoção ocorrida na década de 1980 para a instalação do CLA, seja dos</w:t>
      </w:r>
      <w:r>
        <w:t xml:space="preserve"> </w:t>
      </w:r>
      <w:r>
        <w:t>possíveis atingidos pela expansão do CLA decorrente do Acordo Entre o Governo da República</w:t>
      </w:r>
      <w:r>
        <w:t xml:space="preserve"> </w:t>
      </w:r>
      <w:r>
        <w:t>Federativa do Brasil e o Governo dos Estados Unidos da América Sobre Salvaguardas</w:t>
      </w:r>
      <w:r>
        <w:t xml:space="preserve"> </w:t>
      </w:r>
      <w:r>
        <w:t>Tecnológicas Relacionadas à Participação dos Estados Uni</w:t>
      </w:r>
      <w:r>
        <w:t xml:space="preserve">dos da América em Lançamentos a </w:t>
      </w:r>
      <w:r>
        <w:t>partir do Centro Espacial de Alcântara, firmado em 2019, em exame pelo Congresso Nacional.</w:t>
      </w:r>
    </w:p>
    <w:p w:rsidR="00846E96" w:rsidRPr="0006062A" w:rsidRDefault="00846E96" w:rsidP="00846E96">
      <w:pPr>
        <w:ind w:firstLine="0"/>
      </w:pPr>
    </w:p>
    <w:p w:rsidR="001336B8" w:rsidRPr="001336B8" w:rsidRDefault="001336B8" w:rsidP="001336B8">
      <w:pPr>
        <w:pStyle w:val="Ttulo2"/>
      </w:pPr>
      <w:r>
        <w:t>Comitiva</w:t>
      </w:r>
    </w:p>
    <w:p w:rsidR="001336B8" w:rsidRDefault="00846E96" w:rsidP="00846E96">
      <w:r>
        <w:t>Integrada pelo Deputado Helder Salomão, Presidente da CDHM; pelo Deputado Bira do Pindaré, membro da CDHM; pelo Deputado Márcio Jerry, membro da CDHM (que participou apenas das atividades do segundo dia de diligências); pela Subprocuradora-Geral da República Deborah Duprat, Procuradora Federal dos Direitos do Cidadão; por Hilton Araújo de Melo, Procurador da República no Maranhão; por Marina Basso Lacerda, Secretária-Executiva da CDHM; e por Elen Pedro Calvi Filho, assessor de comunicação da CDHM.</w:t>
      </w:r>
    </w:p>
    <w:p w:rsidR="00846E96" w:rsidRDefault="00846E96" w:rsidP="001336B8">
      <w:pPr>
        <w:ind w:firstLine="0"/>
      </w:pPr>
    </w:p>
    <w:p w:rsidR="001336B8" w:rsidRDefault="001336B8" w:rsidP="001336B8">
      <w:pPr>
        <w:pStyle w:val="Ttulo2"/>
      </w:pPr>
      <w:r>
        <w:t>Requerimento</w:t>
      </w:r>
      <w:r w:rsidR="00BD4F3D">
        <w:t>s</w:t>
      </w:r>
    </w:p>
    <w:p w:rsidR="001336B8" w:rsidRDefault="00846E96" w:rsidP="00846E96">
      <w:r>
        <w:t>Embasou a diligência o requerimento nº 18/2019, de autoria do Deputado Helder Salmão, aprovado em 3 de abril de 2019.</w:t>
      </w:r>
    </w:p>
    <w:p w:rsidR="00846E96" w:rsidRDefault="00846E96" w:rsidP="00A63E85">
      <w:pPr>
        <w:ind w:firstLine="0"/>
      </w:pPr>
    </w:p>
    <w:p w:rsidR="00A63E85" w:rsidRDefault="00F436FC" w:rsidP="00A63E85">
      <w:pPr>
        <w:pStyle w:val="Ttulo2"/>
      </w:pPr>
      <w:r>
        <w:t>Atividades realizadas</w:t>
      </w:r>
    </w:p>
    <w:p w:rsidR="00846E96" w:rsidRDefault="00846E96" w:rsidP="00846E96">
      <w:r>
        <w:t xml:space="preserve">Na quinta-feira, 4/7, a comitiva visitou a comunidade </w:t>
      </w:r>
      <w:proofErr w:type="spellStart"/>
      <w:r>
        <w:t>Mamuna</w:t>
      </w:r>
      <w:proofErr w:type="spellEnd"/>
      <w:r>
        <w:t xml:space="preserve">, que deve ser afetada por eventual expansão do CLA: primeiramente reuniu-se com quilombolas integrantes do povoado, e depois visitou a praia, que fica ao lado do CLA. Na sequência, a comitiva reuniu-se com representantes da Agrovila </w:t>
      </w:r>
      <w:proofErr w:type="spellStart"/>
      <w:r>
        <w:t>Marudá</w:t>
      </w:r>
      <w:proofErr w:type="spellEnd"/>
      <w:r>
        <w:t xml:space="preserve">, a qual reúne pessoas de nove comunidades </w:t>
      </w:r>
      <w:proofErr w:type="gramStart"/>
      <w:r>
        <w:t>quilombolas removidas</w:t>
      </w:r>
      <w:proofErr w:type="gramEnd"/>
      <w:r>
        <w:t xml:space="preserve"> quando da instalação do CLA. </w:t>
      </w:r>
    </w:p>
    <w:p w:rsidR="00846E96" w:rsidRDefault="00846E96" w:rsidP="00846E96">
      <w:r>
        <w:t xml:space="preserve">Na sexta-feira pela manhã a comitiva participou de reunião sediada no Sindicato das Trabalhadoras e Trabalhadores Rurais de Alcântara, com o respectivo presidente, Antônio Marco </w:t>
      </w:r>
      <w:proofErr w:type="spellStart"/>
      <w:r>
        <w:t>Plício</w:t>
      </w:r>
      <w:proofErr w:type="spellEnd"/>
      <w:r>
        <w:t xml:space="preserve"> Diniz; o Prefeito de Alcântara, Anderson Wilker; o Secretário de Ciência e Tecnologia do Maranhão, Davi Telles; o Secretário de Direitos Humanos do Maranhão, Francisco Gonçalves; o vereador </w:t>
      </w:r>
      <w:proofErr w:type="spellStart"/>
      <w:r>
        <w:t>Claudielson</w:t>
      </w:r>
      <w:proofErr w:type="spellEnd"/>
      <w:r>
        <w:t>; representantes do Movimento Negro Quilombola, da Confederação</w:t>
      </w:r>
      <w:r>
        <w:t xml:space="preserve"> </w:t>
      </w:r>
      <w:r>
        <w:t xml:space="preserve">Nacional Quilombola, da Associação do Território Quilombola de Alcântara (ATEQUILA), do Movimento dos Atingidos pela Base Espacial de Alcântara (MABE) e do Sindicato dos Trabalhadores e Trabalhadoras na Agricultura Familiar de Alcântara (SINTRAF); e ainda com </w:t>
      </w:r>
      <w:r>
        <w:lastRenderedPageBreak/>
        <w:t xml:space="preserve">representantes das comunidades quilombolas Baixa Grande, Brito, Cajueiro, Cajueiro, </w:t>
      </w:r>
      <w:proofErr w:type="spellStart"/>
      <w:r>
        <w:t>Canelatiua</w:t>
      </w:r>
      <w:proofErr w:type="spellEnd"/>
      <w:r>
        <w:t xml:space="preserve">, Centro Alegre, Curuçá, Espera, </w:t>
      </w:r>
      <w:proofErr w:type="spellStart"/>
      <w:r>
        <w:t>Itaiabuna</w:t>
      </w:r>
      <w:proofErr w:type="spellEnd"/>
      <w:r>
        <w:t xml:space="preserve">, </w:t>
      </w:r>
      <w:proofErr w:type="spellStart"/>
      <w:r>
        <w:t>Mamuna</w:t>
      </w:r>
      <w:proofErr w:type="spellEnd"/>
      <w:r>
        <w:t xml:space="preserve">, </w:t>
      </w:r>
      <w:proofErr w:type="spellStart"/>
      <w:r>
        <w:t>Manival</w:t>
      </w:r>
      <w:proofErr w:type="spellEnd"/>
      <w:r>
        <w:t xml:space="preserve">, Paraíso, São Maurício e Terra Mole. </w:t>
      </w:r>
    </w:p>
    <w:p w:rsidR="00626566" w:rsidRDefault="00846E96" w:rsidP="00846E96">
      <w:r>
        <w:t>À tarde, em São Luis, a comitiva reuniu-se com o Governador do Estado do Maranhão, Flávio Dino, junto de seus secretários de Ciência e Tecnologia e de Direitos Humanos, e do Deputado Federal Tadeu Alencar, líder do PSB na Câmara dos Deputados.</w:t>
      </w:r>
    </w:p>
    <w:p w:rsidR="00846E96" w:rsidRDefault="00846E96" w:rsidP="00846E96"/>
    <w:p w:rsidR="00626566" w:rsidRDefault="00626566" w:rsidP="00626566">
      <w:pPr>
        <w:pStyle w:val="Ttulo1"/>
        <w:ind w:firstLine="0"/>
      </w:pPr>
      <w:r>
        <w:t>Parte II – Relato do conteúdo observado</w:t>
      </w:r>
    </w:p>
    <w:p w:rsidR="001B18DF" w:rsidRPr="001B18DF" w:rsidRDefault="001B18DF" w:rsidP="001B18DF">
      <w:pPr>
        <w:pStyle w:val="Ttulo2"/>
      </w:pPr>
      <w:r>
        <w:t>C</w:t>
      </w:r>
      <w:r w:rsidR="0088419C">
        <w:t>ontexto das c</w:t>
      </w:r>
      <w:r>
        <w:t>omunidades quilombolas em Alcântara</w:t>
      </w:r>
      <w:r w:rsidR="00647478">
        <w:t xml:space="preserve"> e Centro de Lançamento</w:t>
      </w:r>
    </w:p>
    <w:p w:rsidR="00647478" w:rsidRDefault="00DC36F1" w:rsidP="00647478">
      <w:pPr>
        <w:rPr>
          <w:rFonts w:cs="Arial"/>
          <w:szCs w:val="22"/>
        </w:rPr>
      </w:pPr>
      <w:r w:rsidRPr="00647478">
        <w:rPr>
          <w:rFonts w:cs="Arial"/>
          <w:szCs w:val="22"/>
        </w:rPr>
        <w:t>Os</w:t>
      </w:r>
      <w:r w:rsidRPr="00647478">
        <w:rPr>
          <w:rFonts w:eastAsiaTheme="minorHAnsi" w:cs="Arial"/>
          <w:szCs w:val="22"/>
          <w:lang w:eastAsia="en-US"/>
        </w:rPr>
        <w:t xml:space="preserve"> primeiros registros administrativos sobre quilombos na região de Alcântara datam </w:t>
      </w:r>
      <w:r w:rsidR="00647478">
        <w:rPr>
          <w:rFonts w:eastAsiaTheme="minorHAnsi" w:cs="Arial"/>
          <w:szCs w:val="22"/>
          <w:lang w:eastAsia="en-US"/>
        </w:rPr>
        <w:t>do</w:t>
      </w:r>
      <w:r w:rsidRPr="00647478">
        <w:rPr>
          <w:rFonts w:eastAsiaTheme="minorHAnsi" w:cs="Arial"/>
          <w:szCs w:val="22"/>
          <w:lang w:eastAsia="en-US"/>
        </w:rPr>
        <w:t xml:space="preserve"> início do século XVIII. </w:t>
      </w:r>
      <w:r w:rsidR="004A7999" w:rsidRPr="00647478">
        <w:rPr>
          <w:rFonts w:eastAsiaTheme="minorHAnsi" w:cs="Arial"/>
          <w:szCs w:val="22"/>
          <w:lang w:eastAsia="en-US"/>
        </w:rPr>
        <w:t>Conhecidos igualmente como mocambos, d</w:t>
      </w:r>
      <w:r w:rsidRPr="00647478">
        <w:rPr>
          <w:rFonts w:eastAsiaTheme="minorHAnsi" w:cs="Arial"/>
          <w:szCs w:val="22"/>
          <w:lang w:eastAsia="en-US"/>
        </w:rPr>
        <w:t xml:space="preserve">efinidos como "aldeia de escravos fugidos", eram compostos também por índios </w:t>
      </w:r>
      <w:proofErr w:type="spellStart"/>
      <w:r w:rsidRPr="00647478">
        <w:rPr>
          <w:rFonts w:eastAsiaTheme="minorHAnsi" w:cs="Arial"/>
          <w:szCs w:val="22"/>
          <w:lang w:eastAsia="en-US"/>
        </w:rPr>
        <w:t>desaldeados</w:t>
      </w:r>
      <w:proofErr w:type="spellEnd"/>
      <w:r w:rsidRPr="00647478">
        <w:rPr>
          <w:rFonts w:eastAsiaTheme="minorHAnsi" w:cs="Arial"/>
          <w:szCs w:val="22"/>
          <w:lang w:eastAsia="en-US"/>
        </w:rPr>
        <w:t xml:space="preserve">, </w:t>
      </w:r>
      <w:proofErr w:type="spellStart"/>
      <w:r w:rsidRPr="00647478">
        <w:rPr>
          <w:rFonts w:eastAsiaTheme="minorHAnsi" w:cs="Arial"/>
          <w:szCs w:val="22"/>
          <w:lang w:eastAsia="en-US"/>
        </w:rPr>
        <w:t>ex-escravos</w:t>
      </w:r>
      <w:proofErr w:type="spellEnd"/>
      <w:r w:rsidRPr="00647478">
        <w:rPr>
          <w:rFonts w:eastAsiaTheme="minorHAnsi" w:cs="Arial"/>
          <w:szCs w:val="22"/>
          <w:lang w:eastAsia="en-US"/>
        </w:rPr>
        <w:t xml:space="preserve"> e alforriados. </w:t>
      </w:r>
      <w:r w:rsidR="004A7999" w:rsidRPr="00647478">
        <w:rPr>
          <w:rFonts w:eastAsiaTheme="minorHAnsi" w:cs="Arial"/>
          <w:szCs w:val="22"/>
          <w:lang w:eastAsia="en-US"/>
        </w:rPr>
        <w:t xml:space="preserve">As terras em que vivem são consideradas um </w:t>
      </w:r>
      <w:r w:rsidR="00551697" w:rsidRPr="00647478">
        <w:rPr>
          <w:rFonts w:eastAsiaTheme="minorHAnsi" w:cs="Arial"/>
          <w:szCs w:val="22"/>
          <w:lang w:eastAsia="en-US"/>
        </w:rPr>
        <w:t>“</w:t>
      </w:r>
      <w:r w:rsidR="004A7999" w:rsidRPr="00647478">
        <w:rPr>
          <w:rFonts w:eastAsiaTheme="minorHAnsi" w:cs="Arial"/>
          <w:szCs w:val="22"/>
          <w:lang w:eastAsia="en-US"/>
        </w:rPr>
        <w:t>território étnico</w:t>
      </w:r>
      <w:r w:rsidR="00551697" w:rsidRPr="00647478">
        <w:rPr>
          <w:rFonts w:eastAsiaTheme="minorHAnsi" w:cs="Arial"/>
          <w:szCs w:val="22"/>
          <w:lang w:eastAsia="en-US"/>
        </w:rPr>
        <w:t>"</w:t>
      </w:r>
      <w:r w:rsidR="004A7999" w:rsidRPr="00647478">
        <w:rPr>
          <w:rFonts w:eastAsiaTheme="minorHAnsi" w:cs="Arial"/>
          <w:szCs w:val="22"/>
          <w:lang w:eastAsia="en-US"/>
        </w:rPr>
        <w:t>, usando-se de uma nomenclatura contemporânea.  Isso porque nelas os povoados quilombolas vivem, desde seus ance</w:t>
      </w:r>
      <w:r w:rsidR="00E743B1" w:rsidRPr="00647478">
        <w:rPr>
          <w:rFonts w:eastAsiaTheme="minorHAnsi" w:cs="Arial"/>
          <w:szCs w:val="22"/>
          <w:lang w:eastAsia="en-US"/>
        </w:rPr>
        <w:t>s</w:t>
      </w:r>
      <w:r w:rsidR="004A7999" w:rsidRPr="00647478">
        <w:rPr>
          <w:rFonts w:eastAsiaTheme="minorHAnsi" w:cs="Arial"/>
          <w:szCs w:val="22"/>
          <w:lang w:eastAsia="en-US"/>
        </w:rPr>
        <w:t>trais, praticando troca de bens e serviços e com solidariedade política entre si, conjugando a isso a afirmação de uma identidade coletiva</w:t>
      </w:r>
      <w:r w:rsidR="00410898" w:rsidRPr="00647478">
        <w:rPr>
          <w:rStyle w:val="Refdenotaderodap"/>
          <w:rFonts w:eastAsiaTheme="minorHAnsi" w:cs="Arial"/>
          <w:color w:val="231F20"/>
          <w:szCs w:val="22"/>
          <w:lang w:eastAsia="en-US"/>
        </w:rPr>
        <w:footnoteReference w:id="1"/>
      </w:r>
      <w:r w:rsidR="00551697" w:rsidRPr="00647478">
        <w:rPr>
          <w:rFonts w:eastAsiaTheme="minorHAnsi" w:cs="Arial"/>
          <w:szCs w:val="22"/>
          <w:lang w:eastAsia="en-US"/>
        </w:rPr>
        <w:t>.</w:t>
      </w:r>
      <w:r w:rsidR="00410898" w:rsidRPr="00647478">
        <w:rPr>
          <w:rFonts w:eastAsiaTheme="minorHAnsi" w:cs="Arial"/>
          <w:szCs w:val="22"/>
          <w:lang w:eastAsia="en-US"/>
        </w:rPr>
        <w:t xml:space="preserve"> Como afirmou </w:t>
      </w:r>
      <w:proofErr w:type="gramStart"/>
      <w:r w:rsidR="00410898" w:rsidRPr="00647478">
        <w:rPr>
          <w:rFonts w:eastAsiaTheme="minorHAnsi" w:cs="Arial"/>
          <w:szCs w:val="22"/>
          <w:lang w:eastAsia="en-US"/>
        </w:rPr>
        <w:t>uma quilombola</w:t>
      </w:r>
      <w:proofErr w:type="gramEnd"/>
      <w:r w:rsidR="00410898" w:rsidRPr="00647478">
        <w:rPr>
          <w:rFonts w:eastAsiaTheme="minorHAnsi" w:cs="Arial"/>
          <w:szCs w:val="22"/>
          <w:lang w:eastAsia="en-US"/>
        </w:rPr>
        <w:t xml:space="preserve"> da comunidade </w:t>
      </w:r>
      <w:proofErr w:type="spellStart"/>
      <w:r w:rsidR="00410898" w:rsidRPr="00647478">
        <w:rPr>
          <w:rFonts w:eastAsiaTheme="minorHAnsi" w:cs="Arial"/>
          <w:szCs w:val="22"/>
          <w:lang w:eastAsia="en-US"/>
        </w:rPr>
        <w:t>Mamuna</w:t>
      </w:r>
      <w:proofErr w:type="spellEnd"/>
      <w:r w:rsidR="00410898" w:rsidRPr="00647478">
        <w:rPr>
          <w:rFonts w:eastAsiaTheme="minorHAnsi" w:cs="Arial"/>
          <w:szCs w:val="22"/>
          <w:lang w:eastAsia="en-US"/>
        </w:rPr>
        <w:t>, “somos descendentes de escravos com índios, e h</w:t>
      </w:r>
      <w:r w:rsidR="00410898" w:rsidRPr="00647478">
        <w:rPr>
          <w:rFonts w:cs="Arial"/>
          <w:szCs w:val="22"/>
        </w:rPr>
        <w:t>abitamos nes</w:t>
      </w:r>
      <w:r w:rsidR="00E743B1" w:rsidRPr="00647478">
        <w:rPr>
          <w:rFonts w:cs="Arial"/>
          <w:szCs w:val="22"/>
        </w:rPr>
        <w:t>t</w:t>
      </w:r>
      <w:r w:rsidR="00410898" w:rsidRPr="00647478">
        <w:rPr>
          <w:rFonts w:cs="Arial"/>
          <w:szCs w:val="22"/>
        </w:rPr>
        <w:t>e território pelo qual nossos antepassados lutaram”.</w:t>
      </w:r>
      <w:r w:rsidR="00647478" w:rsidRPr="00647478">
        <w:rPr>
          <w:rFonts w:cs="Arial"/>
          <w:szCs w:val="22"/>
        </w:rPr>
        <w:t xml:space="preserve"> </w:t>
      </w:r>
    </w:p>
    <w:p w:rsidR="00410898" w:rsidRPr="00647478" w:rsidRDefault="00647478" w:rsidP="00D74673">
      <w:r w:rsidRPr="00647478">
        <w:t xml:space="preserve">O território quilombola de </w:t>
      </w:r>
      <w:r>
        <w:t>A</w:t>
      </w:r>
      <w:r w:rsidRPr="00647478">
        <w:t>lcântara é composto</w:t>
      </w:r>
      <w:r>
        <w:t xml:space="preserve"> </w:t>
      </w:r>
      <w:r w:rsidRPr="00647478">
        <w:t xml:space="preserve">por </w:t>
      </w:r>
      <w:r w:rsidR="00D74673">
        <w:t>150</w:t>
      </w:r>
      <w:r w:rsidRPr="00647478">
        <w:t xml:space="preserve"> povoados</w:t>
      </w:r>
      <w:r w:rsidR="00D74673">
        <w:t xml:space="preserve"> assim certificados pela Fundação Cultural Palmares</w:t>
      </w:r>
      <w:r w:rsidR="00D74673">
        <w:rPr>
          <w:rStyle w:val="Refdenotaderodap"/>
          <w:rFonts w:cs="Arial"/>
          <w:szCs w:val="22"/>
        </w:rPr>
        <w:footnoteReference w:id="2"/>
      </w:r>
      <w:r>
        <w:t>, com</w:t>
      </w:r>
      <w:r w:rsidRPr="00647478">
        <w:t xml:space="preserve"> cerca de 1</w:t>
      </w:r>
      <w:r w:rsidR="00D74673">
        <w:t>2</w:t>
      </w:r>
      <w:r w:rsidRPr="00647478">
        <w:t xml:space="preserve"> mil habitantes</w:t>
      </w:r>
      <w:r>
        <w:t>, numa área total de</w:t>
      </w:r>
      <w:r w:rsidRPr="00647478">
        <w:t xml:space="preserve"> 86 mil hectares</w:t>
      </w:r>
      <w:r w:rsidRPr="00647478">
        <w:rPr>
          <w:rStyle w:val="Refdenotaderodap"/>
          <w:rFonts w:cs="Arial"/>
          <w:szCs w:val="22"/>
        </w:rPr>
        <w:footnoteReference w:id="3"/>
      </w:r>
      <w:r w:rsidRPr="00647478">
        <w:t>.</w:t>
      </w:r>
    </w:p>
    <w:p w:rsidR="009E3039" w:rsidRPr="00C8256C" w:rsidRDefault="00B1698F" w:rsidP="00647478">
      <w:pPr>
        <w:rPr>
          <w:rFonts w:cs="Arial"/>
          <w:szCs w:val="22"/>
        </w:rPr>
      </w:pPr>
      <w:r w:rsidRPr="00647478">
        <w:rPr>
          <w:rFonts w:cs="Arial"/>
          <w:szCs w:val="22"/>
        </w:rPr>
        <w:t xml:space="preserve">Na década de 1980, sobrepondo parte </w:t>
      </w:r>
      <w:r w:rsidR="009E3039" w:rsidRPr="00647478">
        <w:rPr>
          <w:rFonts w:cs="Arial"/>
          <w:szCs w:val="22"/>
        </w:rPr>
        <w:t>desse território étnico</w:t>
      </w:r>
      <w:r w:rsidRPr="00647478">
        <w:rPr>
          <w:rFonts w:cs="Arial"/>
          <w:szCs w:val="22"/>
        </w:rPr>
        <w:t>, foi estabelecido o Centro de</w:t>
      </w:r>
      <w:r w:rsidR="00647478">
        <w:rPr>
          <w:rFonts w:cs="Arial"/>
          <w:szCs w:val="22"/>
        </w:rPr>
        <w:t xml:space="preserve"> Lançamento de Alcântara (CLA), n</w:t>
      </w:r>
      <w:r w:rsidR="00F1665F" w:rsidRPr="00647478">
        <w:rPr>
          <w:rFonts w:cs="Arial"/>
          <w:szCs w:val="22"/>
        </w:rPr>
        <w:t xml:space="preserve">o </w:t>
      </w:r>
      <w:r w:rsidR="00F1665F" w:rsidRPr="00C8256C">
        <w:rPr>
          <w:rFonts w:cs="Arial"/>
          <w:szCs w:val="22"/>
        </w:rPr>
        <w:t xml:space="preserve">contexto da Política Espacial Brasileira, iniciada com a construção do Centro de Lançamento da Barreira do Inferno (CLBI), em Natal, no Rio Grande do Norte. As vantagens </w:t>
      </w:r>
      <w:r w:rsidR="009E3039" w:rsidRPr="00C8256C">
        <w:rPr>
          <w:rFonts w:cs="Arial"/>
          <w:szCs w:val="22"/>
        </w:rPr>
        <w:t xml:space="preserve">alegadas </w:t>
      </w:r>
      <w:r w:rsidR="00F1665F" w:rsidRPr="00C8256C">
        <w:rPr>
          <w:rFonts w:cs="Arial"/>
          <w:szCs w:val="22"/>
        </w:rPr>
        <w:t xml:space="preserve">da localidade para a instalação do CLA são a proximidade com a Linha do Equador, a segurança proporcionada pela proximidade com o </w:t>
      </w:r>
      <w:r w:rsidR="00647478" w:rsidRPr="00C8256C">
        <w:rPr>
          <w:rFonts w:cs="Arial"/>
          <w:szCs w:val="22"/>
        </w:rPr>
        <w:t>o</w:t>
      </w:r>
      <w:r w:rsidR="00F1665F" w:rsidRPr="00C8256C">
        <w:rPr>
          <w:rFonts w:cs="Arial"/>
          <w:szCs w:val="22"/>
        </w:rPr>
        <w:t xml:space="preserve">ceano para casos de acidentes e a </w:t>
      </w:r>
      <w:r w:rsidR="00C8256C" w:rsidRPr="00C8256C">
        <w:rPr>
          <w:rFonts w:cs="Arial"/>
          <w:szCs w:val="22"/>
        </w:rPr>
        <w:t xml:space="preserve">suposta </w:t>
      </w:r>
      <w:r w:rsidR="00F1665F" w:rsidRPr="00C8256C">
        <w:rPr>
          <w:rFonts w:cs="Arial"/>
          <w:szCs w:val="22"/>
        </w:rPr>
        <w:t>baixa densidade demográfica</w:t>
      </w:r>
      <w:r w:rsidR="00C8256C" w:rsidRPr="00C8256C">
        <w:rPr>
          <w:rFonts w:cs="Arial"/>
          <w:szCs w:val="22"/>
        </w:rPr>
        <w:t xml:space="preserve"> – o que significa, na verdade, desconsideração em relação ao povo negro que vive nos lugares diretamente impactados.</w:t>
      </w:r>
    </w:p>
    <w:p w:rsidR="00F444CF" w:rsidRDefault="009E3039" w:rsidP="00233693">
      <w:pPr>
        <w:rPr>
          <w:rFonts w:cs="Arial"/>
          <w:szCs w:val="22"/>
        </w:rPr>
      </w:pPr>
      <w:r w:rsidRPr="00C8256C">
        <w:rPr>
          <w:rFonts w:cs="Arial"/>
          <w:szCs w:val="22"/>
        </w:rPr>
        <w:t xml:space="preserve">O CLA foi instalado </w:t>
      </w:r>
      <w:r w:rsidR="00647478" w:rsidRPr="00C8256C">
        <w:rPr>
          <w:rFonts w:cs="Arial"/>
          <w:szCs w:val="22"/>
        </w:rPr>
        <w:t>entre 1983 e 1987, em uma área efetiva de 8 mil hectares</w:t>
      </w:r>
      <w:r w:rsidR="00233693" w:rsidRPr="00C8256C">
        <w:rPr>
          <w:rStyle w:val="Refdenotaderodap"/>
          <w:rFonts w:cs="Arial"/>
          <w:szCs w:val="22"/>
        </w:rPr>
        <w:footnoteReference w:id="4"/>
      </w:r>
      <w:r w:rsidR="00647478" w:rsidRPr="00C8256C">
        <w:rPr>
          <w:rFonts w:cs="Arial"/>
          <w:szCs w:val="22"/>
        </w:rPr>
        <w:t xml:space="preserve">, implicando na remoção forçada de 312 famílias quilombolas de 32 povoados para 7 agrovilas. </w:t>
      </w:r>
      <w:r w:rsidR="00233693" w:rsidRPr="00C8256C">
        <w:rPr>
          <w:rFonts w:cs="Arial"/>
          <w:szCs w:val="22"/>
        </w:rPr>
        <w:t>Dos</w:t>
      </w:r>
      <w:r w:rsidR="00647478" w:rsidRPr="00C8256C">
        <w:rPr>
          <w:rFonts w:cs="Arial"/>
          <w:szCs w:val="22"/>
        </w:rPr>
        <w:t xml:space="preserve"> 86 mil hectares do território quilombola,</w:t>
      </w:r>
      <w:r w:rsidR="004632EC" w:rsidRPr="00C8256C">
        <w:rPr>
          <w:rFonts w:cs="Arial"/>
          <w:szCs w:val="22"/>
        </w:rPr>
        <w:t xml:space="preserve"> 8 </w:t>
      </w:r>
      <w:r w:rsidR="002C1C33" w:rsidRPr="00C8256C">
        <w:rPr>
          <w:rFonts w:cs="Arial"/>
          <w:szCs w:val="22"/>
        </w:rPr>
        <w:t xml:space="preserve">mil </w:t>
      </w:r>
      <w:r w:rsidR="004632EC" w:rsidRPr="00C8256C">
        <w:rPr>
          <w:rFonts w:cs="Arial"/>
          <w:szCs w:val="22"/>
        </w:rPr>
        <w:t>são ocupados</w:t>
      </w:r>
      <w:r w:rsidR="004632EC" w:rsidRPr="00647478">
        <w:rPr>
          <w:rFonts w:cs="Arial"/>
          <w:szCs w:val="22"/>
        </w:rPr>
        <w:t xml:space="preserve"> efetivamente pelo CLA e 78 mil são considerados, oficialmente, como integrantes do Território Quilombola de Alcântara, assim </w:t>
      </w:r>
      <w:r w:rsidR="004632EC" w:rsidRPr="00647478">
        <w:rPr>
          <w:rFonts w:cs="Arial"/>
          <w:szCs w:val="22"/>
        </w:rPr>
        <w:lastRenderedPageBreak/>
        <w:t>delimitado por</w:t>
      </w:r>
      <w:r w:rsidR="001B18DF" w:rsidRPr="00647478">
        <w:rPr>
          <w:rFonts w:cs="Arial"/>
          <w:szCs w:val="22"/>
        </w:rPr>
        <w:t xml:space="preserve"> Relatório Técnico de Identificação e Delimitação (RTID) publicado pelo INCRA em 2008</w:t>
      </w:r>
      <w:r w:rsidR="004F08AD" w:rsidRPr="00647478">
        <w:rPr>
          <w:rStyle w:val="Refdenotaderodap"/>
          <w:rFonts w:cs="Arial"/>
          <w:szCs w:val="22"/>
        </w:rPr>
        <w:footnoteReference w:id="5"/>
      </w:r>
      <w:r w:rsidR="004F08AD" w:rsidRPr="00647478">
        <w:rPr>
          <w:rFonts w:cs="Arial"/>
          <w:szCs w:val="22"/>
        </w:rPr>
        <w:t xml:space="preserve">. </w:t>
      </w:r>
    </w:p>
    <w:p w:rsidR="006D0497" w:rsidRPr="00647478" w:rsidRDefault="006D0497" w:rsidP="00233693">
      <w:pPr>
        <w:rPr>
          <w:rFonts w:cs="Arial"/>
          <w:szCs w:val="22"/>
        </w:rPr>
      </w:pPr>
      <w:r>
        <w:rPr>
          <w:rFonts w:cs="Arial"/>
          <w:szCs w:val="22"/>
        </w:rPr>
        <w:t xml:space="preserve">Como se mencionou, o CLA ocupa 8 mil hectares. </w:t>
      </w:r>
      <w:r w:rsidR="006773FC">
        <w:rPr>
          <w:rFonts w:cs="Arial"/>
          <w:szCs w:val="22"/>
        </w:rPr>
        <w:t>Embora o Acordo de Salvaguardas não o preveja expressamente, a</w:t>
      </w:r>
      <w:r>
        <w:rPr>
          <w:rFonts w:cs="Arial"/>
          <w:szCs w:val="22"/>
        </w:rPr>
        <w:t xml:space="preserve"> aeronáutica pretende a expansão do terreno em mais </w:t>
      </w:r>
      <w:r w:rsidR="00D90961">
        <w:rPr>
          <w:rFonts w:cs="Arial"/>
          <w:szCs w:val="22"/>
        </w:rPr>
        <w:t>12</w:t>
      </w:r>
      <w:r>
        <w:rPr>
          <w:rFonts w:cs="Arial"/>
          <w:szCs w:val="22"/>
        </w:rPr>
        <w:t xml:space="preserve"> mil hectares – o que é chamado, pelos militares, de consolidação </w:t>
      </w:r>
      <w:r w:rsidR="00D90961">
        <w:rPr>
          <w:rFonts w:cs="Arial"/>
          <w:szCs w:val="22"/>
        </w:rPr>
        <w:t>da área do CLA</w:t>
      </w:r>
      <w:r w:rsidR="00D90961">
        <w:rPr>
          <w:rStyle w:val="Refdenotaderodap"/>
          <w:rFonts w:cs="Arial"/>
          <w:szCs w:val="22"/>
        </w:rPr>
        <w:footnoteReference w:id="6"/>
      </w:r>
      <w:r w:rsidR="00D90961">
        <w:rPr>
          <w:rFonts w:cs="Arial"/>
          <w:szCs w:val="22"/>
        </w:rPr>
        <w:t xml:space="preserve">. </w:t>
      </w:r>
      <w:r w:rsidR="00770A5F">
        <w:rPr>
          <w:rFonts w:cs="Arial"/>
          <w:szCs w:val="22"/>
        </w:rPr>
        <w:t>A expansão deve implicar no deslocamento de 2 mil quilombolas de 27 comunidades</w:t>
      </w:r>
      <w:r w:rsidR="00770A5F">
        <w:rPr>
          <w:rStyle w:val="Refdenotaderodap"/>
          <w:rFonts w:cs="Arial"/>
          <w:szCs w:val="22"/>
        </w:rPr>
        <w:footnoteReference w:id="7"/>
      </w:r>
      <w:r w:rsidR="00770A5F">
        <w:rPr>
          <w:rFonts w:cs="Arial"/>
          <w:szCs w:val="22"/>
        </w:rPr>
        <w:t>.</w:t>
      </w:r>
    </w:p>
    <w:p w:rsidR="004F08AD" w:rsidRDefault="004F08AD" w:rsidP="00D453AB"/>
    <w:p w:rsidR="004F08AD" w:rsidRDefault="0088419C" w:rsidP="0088419C">
      <w:pPr>
        <w:pStyle w:val="Ttulo2"/>
        <w:rPr>
          <w:rFonts w:cs="Arial"/>
          <w:sz w:val="24"/>
          <w:szCs w:val="24"/>
          <w:lang w:eastAsia="en-US"/>
        </w:rPr>
      </w:pPr>
      <w:r w:rsidRPr="00CA658A">
        <w:rPr>
          <w:rFonts w:cs="Arial"/>
          <w:sz w:val="24"/>
          <w:szCs w:val="24"/>
          <w:lang w:eastAsia="en-US"/>
        </w:rPr>
        <w:t xml:space="preserve">Acordo </w:t>
      </w:r>
      <w:r>
        <w:rPr>
          <w:rFonts w:cs="Arial"/>
          <w:sz w:val="24"/>
          <w:szCs w:val="24"/>
          <w:lang w:eastAsia="en-US"/>
        </w:rPr>
        <w:t>de</w:t>
      </w:r>
      <w:r w:rsidRPr="00CA658A">
        <w:rPr>
          <w:rFonts w:cs="Arial"/>
          <w:sz w:val="24"/>
          <w:szCs w:val="24"/>
          <w:lang w:eastAsia="en-US"/>
        </w:rPr>
        <w:t xml:space="preserve"> Salvaguardas Tecnológicas </w:t>
      </w:r>
      <w:r>
        <w:rPr>
          <w:rFonts w:cs="Arial"/>
          <w:sz w:val="24"/>
          <w:szCs w:val="24"/>
          <w:lang w:eastAsia="en-US"/>
        </w:rPr>
        <w:t>com os Estados Unidos</w:t>
      </w:r>
    </w:p>
    <w:p w:rsidR="0088419C" w:rsidRDefault="0088419C" w:rsidP="0088419C">
      <w:pPr>
        <w:rPr>
          <w:lang w:eastAsia="en-US"/>
        </w:rPr>
      </w:pPr>
    </w:p>
    <w:p w:rsidR="00E33588" w:rsidRDefault="000167CD" w:rsidP="00E33588">
      <w:pPr>
        <w:rPr>
          <w:shd w:val="clear" w:color="auto" w:fill="FFFFFF"/>
        </w:rPr>
      </w:pPr>
      <w:r w:rsidRPr="00E33588">
        <w:rPr>
          <w:color w:val="000000" w:themeColor="text1"/>
        </w:rPr>
        <w:t xml:space="preserve">Em </w:t>
      </w:r>
      <w:r w:rsidR="00670EC7" w:rsidRPr="00E33588">
        <w:rPr>
          <w:shd w:val="clear" w:color="auto" w:fill="FFFFFF"/>
        </w:rPr>
        <w:t>18 de abril de 2000 foi assinado acordo entre o Governo da República Federativa do Brasil e o Governo dos Estados Unidos da América sobre Salvaguardas Tecnológicas Relacionadas à Participação dos Estados Unidos da América nos Lançamentos a partir do Cen</w:t>
      </w:r>
      <w:r w:rsidR="00A51265" w:rsidRPr="00E33588">
        <w:rPr>
          <w:shd w:val="clear" w:color="auto" w:fill="FFFFFF"/>
        </w:rPr>
        <w:t xml:space="preserve">tro de Lançamento de Alcântara. </w:t>
      </w:r>
      <w:r w:rsidR="00E33588">
        <w:t xml:space="preserve">À época, porém, prevaleceu o entendimento de que as condições do Brasil no acordo eram desvantajosas e ofensivas à soberania nacional. </w:t>
      </w:r>
      <w:r w:rsidR="00E33588" w:rsidRPr="00E33588">
        <w:rPr>
          <w:shd w:val="clear" w:color="auto" w:fill="FFFFFF"/>
        </w:rPr>
        <w:t>A Comissão de Relações Exteriores e de Defesa Nacional da Câmara dos Deputados</w:t>
      </w:r>
      <w:r w:rsidR="00E33588">
        <w:rPr>
          <w:shd w:val="clear" w:color="auto" w:fill="FFFFFF"/>
        </w:rPr>
        <w:t xml:space="preserve"> aprovou o acordo com ressalvas (</w:t>
      </w:r>
      <w:r w:rsidR="00E33588" w:rsidRPr="00E33588">
        <w:rPr>
          <w:shd w:val="clear" w:color="auto" w:fill="FFFFFF"/>
        </w:rPr>
        <w:t>PDC 1446/2001</w:t>
      </w:r>
      <w:r w:rsidR="00E33588">
        <w:rPr>
          <w:shd w:val="clear" w:color="auto" w:fill="FFFFFF"/>
        </w:rPr>
        <w:t xml:space="preserve">), e o texto acabou não sendo sequer deliberado pelo Plenário da Casa. </w:t>
      </w:r>
    </w:p>
    <w:p w:rsidR="008116AB" w:rsidRDefault="008116AB" w:rsidP="00726033">
      <w:pPr>
        <w:rPr>
          <w:shd w:val="clear" w:color="auto" w:fill="FFFFFF"/>
        </w:rPr>
      </w:pPr>
      <w:r w:rsidRPr="008116AB">
        <w:rPr>
          <w:shd w:val="clear" w:color="auto" w:fill="FFFFFF"/>
        </w:rPr>
        <w:t xml:space="preserve">Em 2004 foi </w:t>
      </w:r>
      <w:proofErr w:type="gramStart"/>
      <w:r w:rsidRPr="008116AB">
        <w:rPr>
          <w:shd w:val="clear" w:color="auto" w:fill="FFFFFF"/>
        </w:rPr>
        <w:t xml:space="preserve">assinado </w:t>
      </w:r>
      <w:r>
        <w:rPr>
          <w:shd w:val="clear" w:color="auto" w:fill="FFFFFF"/>
        </w:rPr>
        <w:t>T</w:t>
      </w:r>
      <w:r w:rsidRPr="008116AB">
        <w:rPr>
          <w:shd w:val="clear" w:color="auto" w:fill="FFFFFF"/>
        </w:rPr>
        <w:t>ratado</w:t>
      </w:r>
      <w:proofErr w:type="gramEnd"/>
      <w:r w:rsidRPr="008116AB">
        <w:rPr>
          <w:shd w:val="clear" w:color="auto" w:fill="FFFFFF"/>
        </w:rPr>
        <w:t xml:space="preserve"> entre a República Federativa do Brasil e a Ucrânia sobre cooperação de Longo Prazo na Utilização do Veículo de Lançamento Cyclone-4 no Centro de Lançamento de Alcântara. Já contendo as ressalvas antes aprovadas pela CREDN, o acordo foi ratificado pelo Congresso Nacional (PDC 1356/2004). O Brasil, porém, denunciou do acordo em 2015. </w:t>
      </w:r>
      <w:r>
        <w:rPr>
          <w:shd w:val="clear" w:color="auto" w:fill="FFFFFF"/>
        </w:rPr>
        <w:t xml:space="preserve">A empresa </w:t>
      </w:r>
      <w:r w:rsidRPr="008116AB">
        <w:rPr>
          <w:shd w:val="clear" w:color="auto" w:fill="FFFFFF"/>
        </w:rPr>
        <w:t xml:space="preserve">Alcântara </w:t>
      </w:r>
      <w:proofErr w:type="spellStart"/>
      <w:r w:rsidRPr="008116AB">
        <w:rPr>
          <w:shd w:val="clear" w:color="auto" w:fill="FFFFFF"/>
        </w:rPr>
        <w:t>Cyclone</w:t>
      </w:r>
      <w:proofErr w:type="spellEnd"/>
      <w:r w:rsidRPr="008116AB">
        <w:rPr>
          <w:shd w:val="clear" w:color="auto" w:fill="FFFFFF"/>
        </w:rPr>
        <w:t xml:space="preserve"> Space (ACS), resultado </w:t>
      </w:r>
      <w:r>
        <w:rPr>
          <w:shd w:val="clear" w:color="auto" w:fill="FFFFFF"/>
        </w:rPr>
        <w:t>da</w:t>
      </w:r>
      <w:r w:rsidRPr="008116AB">
        <w:rPr>
          <w:shd w:val="clear" w:color="auto" w:fill="FFFFFF"/>
        </w:rPr>
        <w:t xml:space="preserve"> parceria entre os governos brasileiro e da Ucrânia para explorar comercial</w:t>
      </w:r>
      <w:r>
        <w:rPr>
          <w:shd w:val="clear" w:color="auto" w:fill="FFFFFF"/>
        </w:rPr>
        <w:t xml:space="preserve">mente o </w:t>
      </w:r>
      <w:r w:rsidR="00B55E93">
        <w:rPr>
          <w:shd w:val="clear" w:color="auto" w:fill="FFFFFF"/>
        </w:rPr>
        <w:t>CLA</w:t>
      </w:r>
      <w:r>
        <w:rPr>
          <w:shd w:val="clear" w:color="auto" w:fill="FFFFFF"/>
        </w:rPr>
        <w:t>, foi extinta em 2018 por Medida Provisória confirmada pelo Congresso.</w:t>
      </w:r>
    </w:p>
    <w:p w:rsidR="008116AB" w:rsidRPr="00E33588" w:rsidRDefault="00E33588" w:rsidP="008116AB">
      <w:pPr>
        <w:rPr>
          <w:shd w:val="clear" w:color="auto" w:fill="FFFFFF"/>
        </w:rPr>
      </w:pPr>
      <w:r w:rsidRPr="00770A5F">
        <w:rPr>
          <w:shd w:val="clear" w:color="auto" w:fill="FFFFFF"/>
        </w:rPr>
        <w:t xml:space="preserve">Agora, em 2019, o Governo </w:t>
      </w:r>
      <w:proofErr w:type="spellStart"/>
      <w:r w:rsidRPr="00770A5F">
        <w:rPr>
          <w:shd w:val="clear" w:color="auto" w:fill="FFFFFF"/>
        </w:rPr>
        <w:t>Trump</w:t>
      </w:r>
      <w:proofErr w:type="spellEnd"/>
      <w:r w:rsidRPr="00770A5F">
        <w:rPr>
          <w:shd w:val="clear" w:color="auto" w:fill="FFFFFF"/>
        </w:rPr>
        <w:t xml:space="preserve"> e o Governo Bolsonaro assinam acordo semelhante ao dos anos 2000. </w:t>
      </w:r>
      <w:r w:rsidR="00726033" w:rsidRPr="00770A5F">
        <w:rPr>
          <w:shd w:val="clear" w:color="auto" w:fill="FFFFFF"/>
        </w:rPr>
        <w:t>Conforme exposição do Ministro de Ciência e Tecnologia em audiência pública</w:t>
      </w:r>
      <w:r w:rsidR="00DE5586" w:rsidRPr="00770A5F">
        <w:rPr>
          <w:rStyle w:val="Refdenotaderodap"/>
          <w:shd w:val="clear" w:color="auto" w:fill="FFFFFF"/>
        </w:rPr>
        <w:footnoteReference w:id="8"/>
      </w:r>
      <w:r w:rsidR="00726033" w:rsidRPr="00770A5F">
        <w:rPr>
          <w:shd w:val="clear" w:color="auto" w:fill="FFFFFF"/>
        </w:rPr>
        <w:t xml:space="preserve">, declaradamente, o que o acordo pretende é a proteção da tecnologia espacial norte-americana – as salvaguardas tecnológicas. Porém, adicionalmente, identificam-se “salvaguardas políticas” no acordo, </w:t>
      </w:r>
      <w:r w:rsidR="008116AB" w:rsidRPr="00770A5F">
        <w:rPr>
          <w:shd w:val="clear" w:color="auto" w:fill="FFFFFF"/>
        </w:rPr>
        <w:t xml:space="preserve">assimétricas e </w:t>
      </w:r>
      <w:r w:rsidR="00726033" w:rsidRPr="00770A5F">
        <w:rPr>
          <w:shd w:val="clear" w:color="auto" w:fill="FFFFFF"/>
        </w:rPr>
        <w:t xml:space="preserve">sensíveis à soberania nacional: </w:t>
      </w:r>
      <w:r w:rsidR="008116AB" w:rsidRPr="00770A5F">
        <w:rPr>
          <w:shd w:val="clear" w:color="auto" w:fill="FFFFFF"/>
        </w:rPr>
        <w:t>proibição de usar o dinheiro dos lançamentos</w:t>
      </w:r>
      <w:r w:rsidR="008116AB" w:rsidRPr="008116AB">
        <w:rPr>
          <w:shd w:val="clear" w:color="auto" w:fill="FFFFFF"/>
        </w:rPr>
        <w:t xml:space="preserve"> no desenvolvimento do Veículo Lançador de Satélites (VLS)</w:t>
      </w:r>
      <w:r w:rsidR="008116AB">
        <w:rPr>
          <w:shd w:val="clear" w:color="auto" w:fill="FFFFFF"/>
        </w:rPr>
        <w:t xml:space="preserve">; </w:t>
      </w:r>
      <w:r w:rsidR="008116AB" w:rsidRPr="008116AB">
        <w:rPr>
          <w:shd w:val="clear" w:color="auto" w:fill="FFFFFF"/>
        </w:rPr>
        <w:t>proibição de cooperar com países que não sejam membros do Regime de Controle de Tecnologia de Mísseis (MTCR)</w:t>
      </w:r>
      <w:r w:rsidR="008116AB">
        <w:rPr>
          <w:shd w:val="clear" w:color="auto" w:fill="FFFFFF"/>
        </w:rPr>
        <w:t xml:space="preserve">; </w:t>
      </w:r>
      <w:r w:rsidR="008116AB" w:rsidRPr="008116AB">
        <w:rPr>
          <w:shd w:val="clear" w:color="auto" w:fill="FFFFFF"/>
        </w:rPr>
        <w:t>possibilidade de veto pol</w:t>
      </w:r>
      <w:r w:rsidR="008116AB">
        <w:rPr>
          <w:shd w:val="clear" w:color="auto" w:fill="FFFFFF"/>
        </w:rPr>
        <w:t xml:space="preserve">ítico unilateral de lançamentos; </w:t>
      </w:r>
      <w:r w:rsidR="008116AB" w:rsidRPr="008116AB">
        <w:rPr>
          <w:shd w:val="clear" w:color="auto" w:fill="FFFFFF"/>
        </w:rPr>
        <w:t>obstáculos à cooperação tecnológica brasileira</w:t>
      </w:r>
      <w:r w:rsidR="008116AB">
        <w:rPr>
          <w:shd w:val="clear" w:color="auto" w:fill="FFFFFF"/>
        </w:rPr>
        <w:t xml:space="preserve">; </w:t>
      </w:r>
      <w:r w:rsidR="008116AB" w:rsidRPr="008116AB">
        <w:rPr>
          <w:shd w:val="clear" w:color="auto" w:fill="FFFFFF"/>
        </w:rPr>
        <w:t>controle, pelo governo norte-americano, de áreas do CLA, com acesso apenas para pessoas que portem crachás emitidos pelo governo n</w:t>
      </w:r>
      <w:r w:rsidR="008116AB">
        <w:rPr>
          <w:shd w:val="clear" w:color="auto" w:fill="FFFFFF"/>
        </w:rPr>
        <w:t>orte-americano (§ 6, Artigo VI); p</w:t>
      </w:r>
      <w:r w:rsidR="008116AB" w:rsidRPr="008116AB">
        <w:rPr>
          <w:shd w:val="clear" w:color="auto" w:fill="FFFFFF"/>
        </w:rPr>
        <w:t>ossibilidade de realização, pela parte norte-americana, de inspeções, a qualquer tempo, em qualquer das áreas</w:t>
      </w:r>
      <w:r w:rsidR="008116AB">
        <w:rPr>
          <w:shd w:val="clear" w:color="auto" w:fill="FFFFFF"/>
        </w:rPr>
        <w:t>.</w:t>
      </w:r>
    </w:p>
    <w:p w:rsidR="00572AB7" w:rsidRDefault="006F285D" w:rsidP="00E33588">
      <w:pPr>
        <w:rPr>
          <w:color w:val="000000" w:themeColor="text1"/>
        </w:rPr>
      </w:pPr>
      <w:r>
        <w:rPr>
          <w:color w:val="000000" w:themeColor="text1"/>
        </w:rPr>
        <w:lastRenderedPageBreak/>
        <w:t>Apesar da relevância do tema, o foco das atenções da CDHM</w:t>
      </w:r>
      <w:r w:rsidR="006773FC">
        <w:rPr>
          <w:color w:val="000000" w:themeColor="text1"/>
        </w:rPr>
        <w:t xml:space="preserve"> </w:t>
      </w:r>
      <w:r>
        <w:rPr>
          <w:color w:val="000000" w:themeColor="text1"/>
        </w:rPr>
        <w:t>são as questões relativas ao impacto social do acordo, particularmente no que afeta as comunidades quilombolas.</w:t>
      </w:r>
    </w:p>
    <w:p w:rsidR="0052589A" w:rsidRDefault="0052589A" w:rsidP="0052589A">
      <w:pPr>
        <w:ind w:firstLine="0"/>
        <w:rPr>
          <w:color w:val="000000" w:themeColor="text1"/>
        </w:rPr>
      </w:pPr>
    </w:p>
    <w:p w:rsidR="0052589A" w:rsidRDefault="005F24DB" w:rsidP="0052589A">
      <w:pPr>
        <w:pStyle w:val="Ttulo2"/>
      </w:pPr>
      <w:r>
        <w:t>Ausência de consulta prévia e de planejamento</w:t>
      </w:r>
    </w:p>
    <w:p w:rsidR="00846E96" w:rsidRDefault="00846E96" w:rsidP="00846E96">
      <w:r>
        <w:t xml:space="preserve">Os quilombolas com os quais a comissão dialogou manifestaram de maneira uníssona seu sentimento de ameaça e de injustiça. “Somos descendentes de escravos, e estão de novo querendo passar por cima da gente a qualquer preço” – é o que expressou uma senhora. “Vivemos sufocados, sem programas federais, sem estrada, sem nada. Querem que a gente peça para sair. Destruíram o Rio para que ficássemos sem água. Perfuraram toda a mata para nos intimidar. Mas permanecemos; não é pela vontade deles que vamos sair”, manifestou outra. </w:t>
      </w:r>
    </w:p>
    <w:p w:rsidR="00846E96" w:rsidRDefault="00846E96" w:rsidP="00846E96">
      <w:r>
        <w:t xml:space="preserve">O acordo agora assinado entre Brasil e Estados Unidos não foi precedido de qualquer consulta prévia às comunidades afetadas. A comunidade soube pela mídia, e as famílias estão adoecendo com a situação de incerteza, relatam. Tampouco há estudos sobre os impactos econômicos e sociais do acordo. Como afirmou o Ministro da Ciência e Tecnologia Marcos Pontes, em Audiência Pública conjunta da CDHM, da Comissão de Ciência, Tecnologia e Inovação e da Comissão de Relações Exteriores e Defesa Nacional realizada em 10/4/2019, o plano de trabalho de execução do acordo será discutido em uma segunda fase, após sua ratificação pelo Congresso Nacional. </w:t>
      </w:r>
    </w:p>
    <w:p w:rsidR="005F24DB" w:rsidRDefault="00846E96" w:rsidP="00846E96">
      <w:r>
        <w:t>Os quilombolas, porém, reivindicam que o acordo só seja confirmado pelo Congresso depois que seus territórios forem titulados.</w:t>
      </w:r>
    </w:p>
    <w:p w:rsidR="00846E96" w:rsidRDefault="00846E96" w:rsidP="00BF150B">
      <w:pPr>
        <w:ind w:firstLine="0"/>
        <w:rPr>
          <w:color w:val="000000" w:themeColor="text1"/>
        </w:rPr>
      </w:pPr>
    </w:p>
    <w:p w:rsidR="00ED7A76" w:rsidRDefault="009E13A4" w:rsidP="00ED7A76">
      <w:pPr>
        <w:pStyle w:val="Ttulo2"/>
        <w:rPr>
          <w:lang w:eastAsia="en-US"/>
        </w:rPr>
      </w:pPr>
      <w:r>
        <w:rPr>
          <w:lang w:eastAsia="en-US"/>
        </w:rPr>
        <w:t>Agrovilas</w:t>
      </w:r>
    </w:p>
    <w:p w:rsidR="00BF150B" w:rsidRDefault="00BF150B" w:rsidP="00BF150B">
      <w:pPr>
        <w:ind w:firstLine="0"/>
        <w:rPr>
          <w:color w:val="000000" w:themeColor="text1"/>
        </w:rPr>
      </w:pPr>
    </w:p>
    <w:p w:rsidR="00846E96" w:rsidRDefault="00846E96" w:rsidP="00846E96">
      <w:r>
        <w:t xml:space="preserve">Como já mencionado, 2 mil quilombolas podem ser afetados pela expansão do centro de lançamento. Segundo os membros das comunidades tradicionais ouvidos pela comitiva, eles não querem ser removidos. Aqui, relatam, “temos nosso peixe do dia-a-dia, temos os bois que criamos livres na praia, e em se plantando tudo dá: mandioca, tomate, pimentão, quiabo”. Embora os quilombolas tenham baixa renda, eles têm acesso à alimentação diversa e a todos os recursos dos quais necessitam nas comunidades tradicionais. </w:t>
      </w:r>
    </w:p>
    <w:p w:rsidR="00846E96" w:rsidRDefault="00846E96" w:rsidP="00846E96">
      <w:r>
        <w:t xml:space="preserve">Não querem ser removidos porque uma das soluções prováveis – embora, repita-se, não haja qualquer plano ou estudo – seria sua realocação para agrovilas, como ocorreu na década de 1980. Outra uma das consequências prováveis seria o deslocamento de parte das populações para a periferia de São Luis. Na comunidade </w:t>
      </w:r>
      <w:proofErr w:type="spellStart"/>
      <w:r>
        <w:t>Marudá</w:t>
      </w:r>
      <w:proofErr w:type="spellEnd"/>
      <w:r>
        <w:t xml:space="preserve">, hoje, de 100 casas, 20 estão fechadas, de pessoas que foram para a capital. Lá, avaliam, não há oportunidade de trabalho ou as oportunidades são precárias, e devem conviver então com índices de criminalidade expressivos. “Vamos conseguir emprego onde? Com salário não dá </w:t>
      </w:r>
      <w:proofErr w:type="gramStart"/>
      <w:r>
        <w:t>pra</w:t>
      </w:r>
      <w:proofErr w:type="gramEnd"/>
      <w:r>
        <w:t xml:space="preserve"> viver na cidade”. </w:t>
      </w:r>
    </w:p>
    <w:p w:rsidR="00846E96" w:rsidRDefault="00846E96" w:rsidP="00846E96">
      <w:r>
        <w:t xml:space="preserve">“Fomos enganados e jogados aqui. Prometeram tudo, não entregaram quase nada” – é como um morador sintetizou a mudança para a Agrovila. Ele morava exatamente onde está a base; eram 12 minutos a pé da casa até o igarapé, e 15 minutos até a praia. Hoje, a pé, são cinco horas para ir e cinco horas para voltar. Segundo seu relato, prometeram carro para levar e buscar, o que nunca ocorreu. </w:t>
      </w:r>
    </w:p>
    <w:p w:rsidR="00846E96" w:rsidRDefault="00846E96" w:rsidP="00846E96">
      <w:r>
        <w:t>A instalação do CLA na década de 1980 fechou acessos ao mar, e a expansão do CLA deve reduzir ainda mais esses acessos às comunidades quilombolas. Isso impede seu modo de</w:t>
      </w:r>
      <w:r>
        <w:t xml:space="preserve"> </w:t>
      </w:r>
      <w:r>
        <w:t xml:space="preserve">vida tradicional – essas comunidades se definem como pescadoras; – e implica negativamente na sua segurança alimentar. Na definição de um deles, “quando vivia na praia não dependia de </w:t>
      </w:r>
      <w:r>
        <w:lastRenderedPageBreak/>
        <w:t xml:space="preserve">ninguém. Só mesmo de Deus. Pescava a noite, trabalhava de dia, não empatava nem um nem outro. Tinha peixe, camarão, siri, farinha, buriti, babaçu, </w:t>
      </w:r>
      <w:proofErr w:type="spellStart"/>
      <w:r>
        <w:t>jussara</w:t>
      </w:r>
      <w:proofErr w:type="spellEnd"/>
      <w:r>
        <w:t xml:space="preserve">”. Em relação às nove comunidades que ainda estão no litoral, eles dizem orar a Deus, porque é delas que vem o abastecimento de frutos do mar e de carne das outras. Tampouco, alegam, há condições para o lavrador trabalhar. “Quem trabalha aqui é com roça. Mas a terra é ruim, o solo é muito úmido, e nunca teve assistência técnica nem crédito”. A promessa de distribuição de cestas básicas também nunca se efetivou. </w:t>
      </w:r>
    </w:p>
    <w:p w:rsidR="00846E96" w:rsidRDefault="00846E96" w:rsidP="00846E96">
      <w:r>
        <w:t xml:space="preserve">A única promessa cumprida quando da instalação do CLA, relatam, foi a construção de uma escola de ensino fundamental dentro da própria comunidade. A promessa de geração de empregos é questionada. Quando na instalação do CLA, eles afirmam, houve geração de emprego nos primeiros cinco anos, enquanto era necessária mão de obra para construção civil (“serviço braçal de foice e pedreiro”); mas, após concluídas as obras, os empregos acabaram. O posto de saúde equipado também nunca veio. “Água encantada, não botaram. Nós é que conseguimos a tubulação na época de campanha”. São três poços artesianos, instalados na época da construção da agrovila, mas só um está em funcionamento. Não há rede de esgoto. A promessa de urbanização também não ocorreu: “nunca botaram uma pedra”. </w:t>
      </w:r>
    </w:p>
    <w:p w:rsidR="00846E96" w:rsidRDefault="00846E96" w:rsidP="00846E96">
      <w:r>
        <w:t xml:space="preserve">As casas não estão tituladas em nome dos moradores das agrovilas. “Prometeram entregar escritura das terras e das casas, mas isso nunca passou de </w:t>
      </w:r>
      <w:proofErr w:type="gramStart"/>
      <w:r>
        <w:t>mentira.”</w:t>
      </w:r>
      <w:proofErr w:type="gramEnd"/>
      <w:r>
        <w:t xml:space="preserve"> Nunca, tampouco, receberam indenização. Cada lançamento, segundo as promessas iniciais, implicaria em um retorno de 5% para as agrovilas – o que jamais ocorreu. Nunca mais tiveram acesso ao cemitério da comunidade que fica hoje na área do CLA. </w:t>
      </w:r>
    </w:p>
    <w:p w:rsidR="006A1A82" w:rsidRDefault="00846E96" w:rsidP="00846E96">
      <w:r>
        <w:t xml:space="preserve">Como pontuou a Procuradora-Federal dos Direitos do Cidadão, essa violência e o descaso que permearam formação da base provavelmente não ocorreria se aquele fosse um território branco; em outras palavras, ocorreu provavelmente porque é um território negro. Como pontuou o pesquisador </w:t>
      </w:r>
      <w:proofErr w:type="spellStart"/>
      <w:r>
        <w:t>Servilo</w:t>
      </w:r>
      <w:proofErr w:type="spellEnd"/>
      <w:r>
        <w:t xml:space="preserve"> Borges, a metodologia instalou em Alcântara um apartheid racial.</w:t>
      </w:r>
    </w:p>
    <w:p w:rsidR="00846E96" w:rsidRDefault="00846E96" w:rsidP="006A1A82"/>
    <w:p w:rsidR="00A65F24" w:rsidRDefault="00A65F24" w:rsidP="00A65F24">
      <w:pPr>
        <w:pStyle w:val="Ttulo2"/>
      </w:pPr>
      <w:r>
        <w:t xml:space="preserve">Ambiente de conflito </w:t>
      </w:r>
    </w:p>
    <w:p w:rsidR="00846E96" w:rsidRDefault="00846E96" w:rsidP="00846E96">
      <w:r>
        <w:t xml:space="preserve">Os sindicatos e as igrejas evangélicas e católicas apoiam as causas dos quilombolas. Mas há um ambiente de conflito instaurado. Causou grande comoção vídeo gravado pelo </w:t>
      </w:r>
      <w:proofErr w:type="spellStart"/>
      <w:r>
        <w:t>viceprefeito</w:t>
      </w:r>
      <w:proofErr w:type="spellEnd"/>
      <w:r>
        <w:t xml:space="preserve"> de Alcântara, Sargento Leitão, dizendo que grupos que não estão desempregados levam influenciam parlamentares dizendo que município não precisa do CLA, quando na verdade o município precisa, de acordo com o ele, do Centro para a geração de empregos e o desenvolvimento local. </w:t>
      </w:r>
    </w:p>
    <w:p w:rsidR="005F50E6" w:rsidRDefault="00846E96" w:rsidP="00846E96">
      <w:r>
        <w:t>Os quilombolas também reclamam que pessoas afirmam que eles são a favor de sair de suas terras, o que refutam. Na quinta-feira a comitiva reuniu-se com quilombolas sem intermediação de políticos ou de lideranças locais. As reuniões realizadas permitem concluir que não são isolados os que rejeitam o acordo nos termos em que está sendo costurado.</w:t>
      </w:r>
    </w:p>
    <w:p w:rsidR="00846E96" w:rsidRDefault="00846E96" w:rsidP="005F50E6">
      <w:pPr>
        <w:ind w:firstLine="0"/>
      </w:pPr>
    </w:p>
    <w:p w:rsidR="005F50E6" w:rsidRDefault="00846E96" w:rsidP="005F50E6">
      <w:pPr>
        <w:pStyle w:val="Ttulo2"/>
      </w:pPr>
      <w:r>
        <w:t>Processos judiciais</w:t>
      </w:r>
    </w:p>
    <w:p w:rsidR="001D7BD8" w:rsidRDefault="001D7BD8" w:rsidP="0088419C"/>
    <w:p w:rsidR="00846E96" w:rsidRDefault="00846E96" w:rsidP="0088419C">
      <w:r>
        <w:t>A Ação Civil Pública 2003.37.00.008868-2-ACP, que tramita na Justiça Federal do Maranhão, foi proposta pelo Ministério Público Federal em face da Fundação Cultural Palmares e União, “com a finalidade de compelir a primeira a promover, dar andamento e concluir o</w:t>
      </w:r>
      <w:r>
        <w:t xml:space="preserve"> </w:t>
      </w:r>
      <w:r>
        <w:t xml:space="preserve">procedimento administrativo voltado ao reconhecimento das comunidades identificadas no laudo antropológico anexo à inicial, qualificando-as como remanescentes de quilombos; e condenar a </w:t>
      </w:r>
      <w:r>
        <w:lastRenderedPageBreak/>
        <w:t>União na obrigação de não fazer, consistente em não remanejar as famílias integrantes das comunidades diretamente afetadas pelo projeto de expansão do Centro de Lançamento de Alcântara”.</w:t>
      </w:r>
    </w:p>
    <w:p w:rsidR="00846E96" w:rsidRDefault="00846E96" w:rsidP="0088419C">
      <w:r>
        <w:t xml:space="preserve">Em 2008, no âmbito desse processo, foi homologada conciliação através da qual o governo brasileiro se comprometia a não realizar novos deslocamentos das comunidades quilombolas de Alcântara, tampouco expandir o atual perímetro do o CLA sobre o território destas comunidades. </w:t>
      </w:r>
    </w:p>
    <w:p w:rsidR="00846E96" w:rsidRDefault="00846E96" w:rsidP="0088419C">
      <w:r>
        <w:t>Em 2018 o Ministério Público Federal solicitou medida liminar para garantia possessórias dos quilombolas a seus territórios. A medida foi negada pela Justiça Federal do Maranhão, e sobre isso foi interposto Agravo de Instrumento que tramita no Tribunal Regional da Primeira Região. As principais violações de direitos observadas pelo MPF, que amparam o recurso, foram:</w:t>
      </w:r>
    </w:p>
    <w:p w:rsidR="00846E96" w:rsidRDefault="00846E96" w:rsidP="00846E96">
      <w:pPr>
        <w:pStyle w:val="PargrafodaLista"/>
        <w:numPr>
          <w:ilvl w:val="0"/>
          <w:numId w:val="23"/>
        </w:numPr>
        <w:rPr>
          <w:i/>
        </w:rPr>
      </w:pPr>
      <w:r w:rsidRPr="00846E96">
        <w:rPr>
          <w:i/>
        </w:rPr>
        <w:t xml:space="preserve">Descumprimento, por parte do CLA e do Governo Federal, de procedimentos de consulta livre, prévia e informada, conforme preconizado pela Convenção 169 da OIT, ratificada pelo Estado brasileiro; </w:t>
      </w:r>
    </w:p>
    <w:p w:rsidR="00846E96" w:rsidRDefault="00846E96" w:rsidP="00846E96">
      <w:pPr>
        <w:pStyle w:val="PargrafodaLista"/>
        <w:numPr>
          <w:ilvl w:val="0"/>
          <w:numId w:val="23"/>
        </w:numPr>
        <w:rPr>
          <w:i/>
        </w:rPr>
      </w:pPr>
      <w:r w:rsidRPr="00846E96">
        <w:rPr>
          <w:i/>
        </w:rPr>
        <w:t xml:space="preserve">Paralisação do processo de titulação do Território, associada à morosidade e a falta de informação sobre o processo de regularização fundiária; </w:t>
      </w:r>
    </w:p>
    <w:p w:rsidR="00846E96" w:rsidRDefault="00846E96" w:rsidP="00846E96">
      <w:pPr>
        <w:pStyle w:val="PargrafodaLista"/>
        <w:numPr>
          <w:ilvl w:val="0"/>
          <w:numId w:val="23"/>
        </w:numPr>
        <w:rPr>
          <w:i/>
        </w:rPr>
      </w:pPr>
      <w:r w:rsidRPr="00846E96">
        <w:rPr>
          <w:i/>
        </w:rPr>
        <w:t xml:space="preserve">Descumprimento, por parte do </w:t>
      </w:r>
      <w:proofErr w:type="gramStart"/>
      <w:r w:rsidRPr="00846E96">
        <w:rPr>
          <w:i/>
        </w:rPr>
        <w:t>CLA ,</w:t>
      </w:r>
      <w:proofErr w:type="gramEnd"/>
      <w:r w:rsidRPr="00846E96">
        <w:rPr>
          <w:i/>
        </w:rPr>
        <w:t xml:space="preserve"> dos acordos firmados com as comunidades quilombolas removidas para as agrovilas, na década de 1980; </w:t>
      </w:r>
    </w:p>
    <w:p w:rsidR="00846E96" w:rsidRDefault="00846E96" w:rsidP="00846E96">
      <w:pPr>
        <w:pStyle w:val="PargrafodaLista"/>
        <w:numPr>
          <w:ilvl w:val="0"/>
          <w:numId w:val="23"/>
        </w:numPr>
        <w:rPr>
          <w:i/>
        </w:rPr>
      </w:pPr>
      <w:r w:rsidRPr="00846E96">
        <w:rPr>
          <w:i/>
        </w:rPr>
        <w:t xml:space="preserve">Ausência ou insuficiência de equipamentos públicos básicos (posto de saúde, hospitais, escolas, equipamentos de assistência social); </w:t>
      </w:r>
    </w:p>
    <w:p w:rsidR="00846E96" w:rsidRDefault="00846E96" w:rsidP="00846E96">
      <w:pPr>
        <w:pStyle w:val="PargrafodaLista"/>
        <w:numPr>
          <w:ilvl w:val="0"/>
          <w:numId w:val="23"/>
        </w:numPr>
        <w:rPr>
          <w:i/>
        </w:rPr>
      </w:pPr>
      <w:r w:rsidRPr="00846E96">
        <w:rPr>
          <w:i/>
        </w:rPr>
        <w:t xml:space="preserve">Ausência ou insuficiência de investimento público para garantir a mobilidade da população quilombola dentro do Território e para fora dele; </w:t>
      </w:r>
    </w:p>
    <w:p w:rsidR="00846E96" w:rsidRDefault="00846E96" w:rsidP="00846E96">
      <w:pPr>
        <w:pStyle w:val="PargrafodaLista"/>
        <w:numPr>
          <w:ilvl w:val="0"/>
          <w:numId w:val="23"/>
        </w:numPr>
        <w:rPr>
          <w:i/>
        </w:rPr>
      </w:pPr>
      <w:r w:rsidRPr="00846E96">
        <w:rPr>
          <w:i/>
        </w:rPr>
        <w:t xml:space="preserve">Ausência de políticas públicas específicas para a juventude, de modo a garantir condições para a sua permanência no Território; </w:t>
      </w:r>
    </w:p>
    <w:p w:rsidR="00846E96" w:rsidRPr="00846E96" w:rsidRDefault="00846E96" w:rsidP="00846E96">
      <w:pPr>
        <w:pStyle w:val="PargrafodaLista"/>
        <w:numPr>
          <w:ilvl w:val="0"/>
          <w:numId w:val="23"/>
        </w:numPr>
        <w:rPr>
          <w:i/>
        </w:rPr>
      </w:pPr>
      <w:r w:rsidRPr="00846E96">
        <w:rPr>
          <w:i/>
        </w:rPr>
        <w:t>Ausência de transparência dos processos afetos à Base de Alcântara, sobretudo em relação à proposta de expansão de sua área e indefinições quanto aos deveres e direitos do CLA sobre o Território e em relação às comunidades.</w:t>
      </w:r>
    </w:p>
    <w:p w:rsidR="00846E96" w:rsidRDefault="00846E96" w:rsidP="0088419C"/>
    <w:p w:rsidR="00846E96" w:rsidRPr="0088419C" w:rsidRDefault="00846E96" w:rsidP="0088419C">
      <w:pPr>
        <w:rPr>
          <w:lang w:eastAsia="en-US"/>
        </w:rPr>
      </w:pPr>
    </w:p>
    <w:p w:rsidR="004659F9" w:rsidRDefault="00C9077B" w:rsidP="004659F9">
      <w:pPr>
        <w:pStyle w:val="Ttulo1"/>
        <w:ind w:firstLine="0"/>
      </w:pPr>
      <w:r>
        <w:t xml:space="preserve">Parte III - </w:t>
      </w:r>
      <w:r w:rsidR="004659F9">
        <w:t>Conclusões</w:t>
      </w:r>
    </w:p>
    <w:p w:rsidR="00B42870" w:rsidRDefault="00846E96" w:rsidP="00AF6C62">
      <w:r>
        <w:t xml:space="preserve">A situação de ameaça e insegurança a que estão submetidos os quilombolas que podem ser deslocados pelo CLA, e a situação de vulnerabilidade a que são submetidos aqueles que já foram deslocados, descrita acima, é inaceitável do ponto de vista dos direitos humanos. A Constituição da República determina que </w:t>
      </w:r>
      <w:proofErr w:type="spellStart"/>
      <w:r>
        <w:t>aos</w:t>
      </w:r>
      <w:proofErr w:type="spellEnd"/>
      <w:r>
        <w:t xml:space="preserve"> remanescentes das comunidades dos quilombos que estejam ocupando suas terras é reconhecida a propriedade definitiva, devendo o Estado </w:t>
      </w:r>
      <w:proofErr w:type="spellStart"/>
      <w:r>
        <w:t>emitir-lhes</w:t>
      </w:r>
      <w:proofErr w:type="spellEnd"/>
      <w:r>
        <w:t xml:space="preserve"> os títulos respectivos.</w:t>
      </w:r>
    </w:p>
    <w:p w:rsidR="00846E96" w:rsidRDefault="00846E96" w:rsidP="00AF6C62">
      <w:r>
        <w:t>A Convenção nº 169 da OIT sobre Povos Indígenas e Tribais, por sua vez, determina que os governos deverão consultar os povos interessados, mediante procedimentos apropriados e, particularmente, através de suas instituições representativas, cada vez que sejam previstas medidas legislativas ou administrativas suscetíveis de afetá-los diretamente. Determina ainda que as consultas realizadas na aplicação desta Convenção deverão ser efetuadas com boa fé e</w:t>
      </w:r>
      <w:r>
        <w:t xml:space="preserve"> </w:t>
      </w:r>
      <w:r>
        <w:t>de maneira apropriada às circunstâncias, com o objetivo de se chegar a um acordo e conseguir o consentimento acerca das medidas propostas.</w:t>
      </w:r>
    </w:p>
    <w:p w:rsidR="00846E96" w:rsidRDefault="00846E96" w:rsidP="00AF6C62">
      <w:r>
        <w:lastRenderedPageBreak/>
        <w:t xml:space="preserve">Diante disso, recomenda-se que o Congresso Nacional se abstenha de deliberar sobre o Acordo Entre o Governo da República Federativa do Brasil e o Governo dos Estados Unidos da América Sobre Salvaguardas Tecnológicas Relacionadas à Participação dos Estados Unidos da América em Lançamentos a partir do Centro Espacial de Alcântara (Mensagem 208/2019) sem que antes: </w:t>
      </w:r>
      <w:proofErr w:type="spellStart"/>
      <w:r>
        <w:t>existam</w:t>
      </w:r>
      <w:proofErr w:type="spellEnd"/>
      <w:r>
        <w:t xml:space="preserve"> estudos sobre o impacto ambiental e socioeconômico dos procedimentos para a efetivação do previsto no tratado internacional; sejam tituladas as propriedades aos quilombolas. </w:t>
      </w:r>
    </w:p>
    <w:p w:rsidR="00846E96" w:rsidRDefault="00846E96" w:rsidP="00AF6C62"/>
    <w:p w:rsidR="00846E96" w:rsidRDefault="00846E96" w:rsidP="00AF6C62">
      <w:r>
        <w:t xml:space="preserve">Brasília, </w:t>
      </w:r>
      <w:r>
        <w:t>14</w:t>
      </w:r>
      <w:r>
        <w:t xml:space="preserve"> de agosto de 2019. </w:t>
      </w:r>
    </w:p>
    <w:p w:rsidR="00846E96" w:rsidRDefault="00846E96" w:rsidP="00AF6C62"/>
    <w:p w:rsidR="00846E96" w:rsidRDefault="00846E96" w:rsidP="00AF6C62"/>
    <w:p w:rsidR="00846E96" w:rsidRDefault="00846E96" w:rsidP="00AF6C62"/>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F111FF" w:rsidTr="00E01020">
        <w:tc>
          <w:tcPr>
            <w:tcW w:w="9344" w:type="dxa"/>
            <w:gridSpan w:val="2"/>
          </w:tcPr>
          <w:p w:rsidR="00F111FF" w:rsidRDefault="00F111FF" w:rsidP="00F111FF">
            <w:pPr>
              <w:ind w:firstLine="0"/>
              <w:jc w:val="center"/>
            </w:pPr>
            <w:r>
              <w:t xml:space="preserve">Deputado </w:t>
            </w:r>
            <w:r w:rsidRPr="00F111FF">
              <w:rPr>
                <w:b/>
              </w:rPr>
              <w:t>Helder Salomão</w:t>
            </w:r>
            <w:r>
              <w:t xml:space="preserve"> (PT/ES)</w:t>
            </w:r>
          </w:p>
          <w:p w:rsidR="00F111FF" w:rsidRDefault="00F111FF" w:rsidP="00F111FF">
            <w:pPr>
              <w:ind w:firstLine="0"/>
              <w:jc w:val="center"/>
            </w:pPr>
            <w:r>
              <w:t>Presidente da CDHM</w:t>
            </w:r>
          </w:p>
          <w:p w:rsidR="00E01020" w:rsidRDefault="00E01020" w:rsidP="00F111FF">
            <w:pPr>
              <w:ind w:firstLine="0"/>
              <w:jc w:val="center"/>
            </w:pPr>
          </w:p>
          <w:p w:rsidR="00E01020" w:rsidRDefault="00E01020" w:rsidP="00F111FF">
            <w:pPr>
              <w:ind w:firstLine="0"/>
              <w:jc w:val="center"/>
            </w:pPr>
            <w:bookmarkStart w:id="0" w:name="_GoBack"/>
            <w:bookmarkEnd w:id="0"/>
          </w:p>
          <w:p w:rsidR="00F111FF" w:rsidRDefault="00F111FF" w:rsidP="00F111FF">
            <w:pPr>
              <w:ind w:firstLine="0"/>
              <w:jc w:val="center"/>
            </w:pPr>
          </w:p>
        </w:tc>
      </w:tr>
      <w:tr w:rsidR="00F111FF" w:rsidTr="00E01020">
        <w:tc>
          <w:tcPr>
            <w:tcW w:w="4672" w:type="dxa"/>
          </w:tcPr>
          <w:p w:rsidR="00F111FF" w:rsidRDefault="00F111FF" w:rsidP="00F111FF">
            <w:pPr>
              <w:ind w:firstLine="0"/>
              <w:jc w:val="center"/>
            </w:pPr>
            <w:proofErr w:type="gramStart"/>
            <w:r>
              <w:t xml:space="preserve">Deputado </w:t>
            </w:r>
            <w:r w:rsidRPr="00F111FF">
              <w:rPr>
                <w:b/>
              </w:rPr>
              <w:t>Bira</w:t>
            </w:r>
            <w:proofErr w:type="gramEnd"/>
            <w:r w:rsidRPr="00F111FF">
              <w:rPr>
                <w:b/>
              </w:rPr>
              <w:t xml:space="preserve"> do Pindaré</w:t>
            </w:r>
            <w:r>
              <w:t xml:space="preserve"> (PSB/MA)</w:t>
            </w:r>
          </w:p>
          <w:p w:rsidR="00F111FF" w:rsidRDefault="00F111FF" w:rsidP="00F111FF">
            <w:pPr>
              <w:ind w:firstLine="0"/>
              <w:jc w:val="center"/>
            </w:pPr>
            <w:r>
              <w:t>Membro da CDHM</w:t>
            </w:r>
          </w:p>
          <w:p w:rsidR="00F111FF" w:rsidRDefault="00F111FF" w:rsidP="00F111FF">
            <w:pPr>
              <w:ind w:firstLine="0"/>
              <w:jc w:val="center"/>
            </w:pPr>
          </w:p>
        </w:tc>
        <w:tc>
          <w:tcPr>
            <w:tcW w:w="4672" w:type="dxa"/>
          </w:tcPr>
          <w:p w:rsidR="00F111FF" w:rsidRDefault="00F111FF" w:rsidP="00F111FF">
            <w:pPr>
              <w:ind w:firstLine="0"/>
              <w:jc w:val="center"/>
            </w:pPr>
            <w:r>
              <w:t xml:space="preserve">Deputado </w:t>
            </w:r>
            <w:r w:rsidRPr="00F111FF">
              <w:rPr>
                <w:b/>
              </w:rPr>
              <w:t>Márcio Jerry</w:t>
            </w:r>
            <w:r>
              <w:t xml:space="preserve"> (PC do B/MA)</w:t>
            </w:r>
          </w:p>
          <w:p w:rsidR="00F111FF" w:rsidRDefault="00F111FF" w:rsidP="00F111FF">
            <w:pPr>
              <w:ind w:firstLine="0"/>
              <w:jc w:val="center"/>
            </w:pPr>
            <w:r>
              <w:t>Membro da CDHM</w:t>
            </w:r>
          </w:p>
          <w:p w:rsidR="00F111FF" w:rsidRDefault="00F111FF" w:rsidP="00F111FF">
            <w:pPr>
              <w:ind w:firstLine="0"/>
              <w:jc w:val="center"/>
            </w:pPr>
          </w:p>
        </w:tc>
      </w:tr>
    </w:tbl>
    <w:p w:rsidR="00846E96" w:rsidRDefault="00846E96" w:rsidP="00AF6C62"/>
    <w:p w:rsidR="00F111FF" w:rsidRDefault="00F111FF" w:rsidP="00AF6C62"/>
    <w:p w:rsidR="00F111FF" w:rsidRDefault="00F111FF" w:rsidP="00AF6C62"/>
    <w:p w:rsidR="00846E96" w:rsidRDefault="00846E96" w:rsidP="00AF6C62">
      <w:pPr>
        <w:rPr>
          <w:szCs w:val="22"/>
        </w:rPr>
      </w:pPr>
    </w:p>
    <w:p w:rsidR="00B42870" w:rsidRDefault="00B42870" w:rsidP="00AF6C62">
      <w:pPr>
        <w:rPr>
          <w:szCs w:val="22"/>
        </w:rPr>
      </w:pPr>
    </w:p>
    <w:p w:rsidR="00AF6C62" w:rsidRDefault="00AF6C62" w:rsidP="00887D30">
      <w:pPr>
        <w:ind w:firstLine="0"/>
        <w:rPr>
          <w:rFonts w:ascii="Times New Roman" w:hAnsi="Times New Roman"/>
          <w:szCs w:val="22"/>
        </w:rPr>
      </w:pPr>
    </w:p>
    <w:p w:rsidR="00887D30" w:rsidRDefault="00E94386" w:rsidP="00E94386">
      <w:pPr>
        <w:tabs>
          <w:tab w:val="left" w:pos="3369"/>
        </w:tabs>
        <w:ind w:firstLine="0"/>
        <w:rPr>
          <w:rFonts w:ascii="Times New Roman" w:hAnsi="Times New Roman"/>
          <w:szCs w:val="22"/>
        </w:rPr>
      </w:pPr>
      <w:r>
        <w:rPr>
          <w:rFonts w:ascii="Times New Roman" w:hAnsi="Times New Roman"/>
          <w:szCs w:val="22"/>
        </w:rPr>
        <w:tab/>
      </w:r>
    </w:p>
    <w:p w:rsidR="00E94386" w:rsidRDefault="00B42870" w:rsidP="00B42870">
      <w:pPr>
        <w:tabs>
          <w:tab w:val="left" w:pos="7159"/>
        </w:tabs>
        <w:ind w:firstLine="0"/>
        <w:rPr>
          <w:rFonts w:ascii="Times New Roman" w:hAnsi="Times New Roman"/>
          <w:szCs w:val="22"/>
        </w:rPr>
      </w:pPr>
      <w:r>
        <w:rPr>
          <w:rFonts w:ascii="Times New Roman" w:hAnsi="Times New Roman"/>
          <w:szCs w:val="22"/>
        </w:rPr>
        <w:tab/>
      </w:r>
    </w:p>
    <w:p w:rsidR="00887D30" w:rsidRDefault="00887D30" w:rsidP="00E94386">
      <w:pPr>
        <w:tabs>
          <w:tab w:val="left" w:pos="6983"/>
        </w:tabs>
        <w:ind w:firstLine="0"/>
        <w:rPr>
          <w:rFonts w:ascii="Times New Roman" w:hAnsi="Times New Roman"/>
          <w:szCs w:val="22"/>
        </w:rPr>
      </w:pPr>
    </w:p>
    <w:p w:rsidR="00887D30" w:rsidRDefault="00887D30" w:rsidP="00887D30">
      <w:pPr>
        <w:ind w:firstLine="0"/>
        <w:rPr>
          <w:rFonts w:ascii="Times New Roman" w:hAnsi="Times New Roman"/>
          <w:szCs w:val="22"/>
        </w:rPr>
      </w:pPr>
    </w:p>
    <w:p w:rsidR="00887D30" w:rsidRDefault="00E94386" w:rsidP="00E94386">
      <w:pPr>
        <w:tabs>
          <w:tab w:val="left" w:pos="2459"/>
        </w:tabs>
        <w:ind w:firstLine="0"/>
        <w:rPr>
          <w:rFonts w:ascii="Times New Roman" w:hAnsi="Times New Roman"/>
          <w:szCs w:val="22"/>
        </w:rPr>
      </w:pPr>
      <w:r>
        <w:rPr>
          <w:rFonts w:ascii="Times New Roman" w:hAnsi="Times New Roman"/>
          <w:szCs w:val="22"/>
        </w:rPr>
        <w:tab/>
      </w:r>
    </w:p>
    <w:p w:rsidR="00D1302E" w:rsidRPr="00D1302E" w:rsidRDefault="00D1302E" w:rsidP="00D1302E">
      <w:pPr>
        <w:rPr>
          <w:rFonts w:ascii="Times New Roman" w:hAnsi="Times New Roman"/>
          <w:szCs w:val="22"/>
        </w:rPr>
      </w:pPr>
    </w:p>
    <w:p w:rsidR="00D1302E" w:rsidRDefault="00D1302E" w:rsidP="00D1302E">
      <w:pPr>
        <w:rPr>
          <w:rFonts w:ascii="Times New Roman" w:hAnsi="Times New Roman"/>
          <w:szCs w:val="22"/>
        </w:rPr>
      </w:pPr>
    </w:p>
    <w:p w:rsidR="00D1302E" w:rsidRDefault="00D1302E" w:rsidP="00D1302E">
      <w:pPr>
        <w:rPr>
          <w:rFonts w:ascii="Times New Roman" w:hAnsi="Times New Roman"/>
          <w:szCs w:val="22"/>
        </w:rPr>
      </w:pPr>
    </w:p>
    <w:p w:rsidR="00D1302E" w:rsidRPr="00D1302E" w:rsidRDefault="00D1302E" w:rsidP="00D1302E">
      <w:pPr>
        <w:tabs>
          <w:tab w:val="left" w:pos="4551"/>
        </w:tabs>
        <w:rPr>
          <w:rFonts w:ascii="Times New Roman" w:hAnsi="Times New Roman"/>
          <w:szCs w:val="22"/>
        </w:rPr>
      </w:pPr>
      <w:r>
        <w:rPr>
          <w:rFonts w:ascii="Times New Roman" w:hAnsi="Times New Roman"/>
          <w:szCs w:val="22"/>
        </w:rPr>
        <w:tab/>
      </w:r>
    </w:p>
    <w:sectPr w:rsidR="00D1302E" w:rsidRPr="00D1302E" w:rsidSect="00F0054F">
      <w:headerReference w:type="default" r:id="rId8"/>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9B3" w:rsidRDefault="002939B3">
      <w:r>
        <w:separator/>
      </w:r>
    </w:p>
  </w:endnote>
  <w:endnote w:type="continuationSeparator" w:id="0">
    <w:p w:rsidR="002939B3" w:rsidRDefault="0029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D5C" w:rsidRDefault="00957D5C" w:rsidP="002A51AB">
    <w:pPr>
      <w:pStyle w:val="Rodap"/>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9B3" w:rsidRDefault="002939B3">
      <w:r>
        <w:separator/>
      </w:r>
    </w:p>
  </w:footnote>
  <w:footnote w:type="continuationSeparator" w:id="0">
    <w:p w:rsidR="002939B3" w:rsidRDefault="002939B3">
      <w:r>
        <w:continuationSeparator/>
      </w:r>
    </w:p>
  </w:footnote>
  <w:footnote w:id="1">
    <w:p w:rsidR="00410898" w:rsidRPr="00770A5F" w:rsidRDefault="00410898">
      <w:pPr>
        <w:pStyle w:val="Textodenotaderodap"/>
        <w:rPr>
          <w:sz w:val="20"/>
        </w:rPr>
      </w:pPr>
      <w:r w:rsidRPr="00770A5F">
        <w:rPr>
          <w:rStyle w:val="Refdenotaderodap"/>
          <w:sz w:val="20"/>
        </w:rPr>
        <w:footnoteRef/>
      </w:r>
      <w:r w:rsidRPr="00770A5F">
        <w:rPr>
          <w:sz w:val="20"/>
        </w:rPr>
        <w:t xml:space="preserve"> Laudo antropológico</w:t>
      </w:r>
      <w:r w:rsidR="00F444CF" w:rsidRPr="00770A5F">
        <w:rPr>
          <w:sz w:val="20"/>
        </w:rPr>
        <w:t xml:space="preserve"> de autoria de Alfredo Wagner </w:t>
      </w:r>
      <w:proofErr w:type="spellStart"/>
      <w:r w:rsidR="00F444CF" w:rsidRPr="00770A5F">
        <w:rPr>
          <w:sz w:val="20"/>
        </w:rPr>
        <w:t>Berno</w:t>
      </w:r>
      <w:proofErr w:type="spellEnd"/>
      <w:r w:rsidR="00F444CF" w:rsidRPr="00770A5F">
        <w:rPr>
          <w:sz w:val="20"/>
        </w:rPr>
        <w:t xml:space="preserve"> de Almeida, produzido por determinação da Procuradoria Geral da República consoante os termos da Portaria nº 007, de 07 de julho de 1999, do Ministério Público Federal no Maranhão, disponível em </w:t>
      </w:r>
      <w:hyperlink r:id="rId1" w:history="1">
        <w:r w:rsidR="00F444CF" w:rsidRPr="00770A5F">
          <w:rPr>
            <w:rStyle w:val="Hyperlink"/>
            <w:sz w:val="20"/>
          </w:rPr>
          <w:t>http://www.mma.gov.br/estruturas/168/_publicacao/168_publicacao03022009105833.pdf</w:t>
        </w:r>
      </w:hyperlink>
      <w:r w:rsidRPr="00770A5F">
        <w:rPr>
          <w:sz w:val="20"/>
        </w:rPr>
        <w:t xml:space="preserve">. </w:t>
      </w:r>
    </w:p>
  </w:footnote>
  <w:footnote w:id="2">
    <w:p w:rsidR="00D74673" w:rsidRPr="00770A5F" w:rsidRDefault="00D74673">
      <w:pPr>
        <w:pStyle w:val="Textodenotaderodap"/>
        <w:rPr>
          <w:sz w:val="20"/>
        </w:rPr>
      </w:pPr>
      <w:r w:rsidRPr="00770A5F">
        <w:rPr>
          <w:rStyle w:val="Refdenotaderodap"/>
          <w:sz w:val="20"/>
        </w:rPr>
        <w:footnoteRef/>
      </w:r>
      <w:r w:rsidRPr="00770A5F">
        <w:rPr>
          <w:sz w:val="20"/>
        </w:rPr>
        <w:t xml:space="preserve"> </w:t>
      </w:r>
      <w:r w:rsidRPr="00770A5F">
        <w:rPr>
          <w:rFonts w:cs="Arial"/>
          <w:color w:val="333333"/>
          <w:sz w:val="20"/>
          <w:shd w:val="clear" w:color="auto" w:fill="FFFFFF"/>
        </w:rPr>
        <w:t xml:space="preserve">Portaria nº 35 de 06/12/2004 / MinC - Ministério da Cultura, do DOU de D.O.U. 10/12/2004.  </w:t>
      </w:r>
    </w:p>
  </w:footnote>
  <w:footnote w:id="3">
    <w:p w:rsidR="00647478" w:rsidRPr="00770A5F" w:rsidRDefault="00647478" w:rsidP="00647478">
      <w:pPr>
        <w:pStyle w:val="Textodenotaderodap"/>
        <w:rPr>
          <w:sz w:val="20"/>
        </w:rPr>
      </w:pPr>
      <w:r w:rsidRPr="00770A5F">
        <w:rPr>
          <w:rStyle w:val="Refdenotaderodap"/>
          <w:sz w:val="20"/>
        </w:rPr>
        <w:footnoteRef/>
      </w:r>
      <w:r w:rsidRPr="00770A5F">
        <w:rPr>
          <w:sz w:val="20"/>
        </w:rPr>
        <w:t xml:space="preserve"> </w:t>
      </w:r>
      <w:r w:rsidR="00D74673" w:rsidRPr="00770A5F">
        <w:rPr>
          <w:sz w:val="20"/>
        </w:rPr>
        <w:t>Laudo antropológico.</w:t>
      </w:r>
      <w:r w:rsidRPr="00770A5F">
        <w:rPr>
          <w:sz w:val="20"/>
        </w:rPr>
        <w:t xml:space="preserve"> </w:t>
      </w:r>
    </w:p>
  </w:footnote>
  <w:footnote w:id="4">
    <w:p w:rsidR="00233693" w:rsidRPr="00770A5F" w:rsidRDefault="00233693">
      <w:pPr>
        <w:pStyle w:val="Textodenotaderodap"/>
        <w:rPr>
          <w:sz w:val="20"/>
        </w:rPr>
      </w:pPr>
      <w:r w:rsidRPr="00770A5F">
        <w:rPr>
          <w:rStyle w:val="Refdenotaderodap"/>
          <w:sz w:val="20"/>
        </w:rPr>
        <w:footnoteRef/>
      </w:r>
      <w:r w:rsidRPr="00770A5F">
        <w:rPr>
          <w:sz w:val="20"/>
        </w:rPr>
        <w:t xml:space="preserve"> </w:t>
      </w:r>
      <w:r w:rsidRPr="00770A5F">
        <w:rPr>
          <w:rFonts w:cs="Arial"/>
          <w:sz w:val="20"/>
        </w:rPr>
        <w:t>O Governo do Maranhão, em 1980, desapropriou 52 mil hectares para a implantação do CLA. A área foi expandida, em 1991, pelo Governo Federal, para o total de 62 mil hectares.</w:t>
      </w:r>
    </w:p>
  </w:footnote>
  <w:footnote w:id="5">
    <w:p w:rsidR="004F08AD" w:rsidRPr="00770A5F" w:rsidRDefault="004F08AD">
      <w:pPr>
        <w:pStyle w:val="Textodenotaderodap"/>
        <w:rPr>
          <w:sz w:val="20"/>
        </w:rPr>
      </w:pPr>
      <w:r w:rsidRPr="00770A5F">
        <w:rPr>
          <w:rStyle w:val="Refdenotaderodap"/>
          <w:sz w:val="20"/>
        </w:rPr>
        <w:footnoteRef/>
      </w:r>
      <w:r w:rsidRPr="00770A5F">
        <w:rPr>
          <w:sz w:val="20"/>
        </w:rPr>
        <w:t xml:space="preserve"> Diário Oficial da União, Seção 3, p. 110-112, 4 de novembro de 2008.</w:t>
      </w:r>
    </w:p>
  </w:footnote>
  <w:footnote w:id="6">
    <w:p w:rsidR="00D90961" w:rsidRPr="00770A5F" w:rsidRDefault="00D90961">
      <w:pPr>
        <w:pStyle w:val="Textodenotaderodap"/>
        <w:rPr>
          <w:sz w:val="20"/>
        </w:rPr>
      </w:pPr>
      <w:r w:rsidRPr="00770A5F">
        <w:rPr>
          <w:rStyle w:val="Refdenotaderodap"/>
          <w:sz w:val="20"/>
        </w:rPr>
        <w:footnoteRef/>
      </w:r>
      <w:r w:rsidRPr="00770A5F">
        <w:rPr>
          <w:sz w:val="20"/>
        </w:rPr>
        <w:t xml:space="preserve"> Vide fala do Tenente-Brigadeiro Carlos de Almeida Baptista Junior em audiência pública da CDHM, CCTCI e CREDN do dia 10/7/2019.</w:t>
      </w:r>
    </w:p>
  </w:footnote>
  <w:footnote w:id="7">
    <w:p w:rsidR="00770A5F" w:rsidRPr="00770A5F" w:rsidRDefault="00770A5F">
      <w:pPr>
        <w:pStyle w:val="Textodenotaderodap"/>
        <w:rPr>
          <w:sz w:val="20"/>
        </w:rPr>
      </w:pPr>
      <w:r w:rsidRPr="00770A5F">
        <w:rPr>
          <w:rStyle w:val="Refdenotaderodap"/>
          <w:sz w:val="20"/>
        </w:rPr>
        <w:footnoteRef/>
      </w:r>
      <w:r w:rsidRPr="00770A5F">
        <w:rPr>
          <w:sz w:val="20"/>
        </w:rPr>
        <w:t xml:space="preserve"> Segundo Carta de Alcântara ao Congresso Nacional, de 28/6/2019, assinada pelo Sindicato dos Trabalhadores e Trabalhadoras Rurais de Alcântara (STTR), pelo Sindicato dos Trabalhadores e Trabalhadoras na Agricultura Familiar de Alcântara (SINTRAF), pela Associação do Território Quilombola de Alcântara (ATEQUILA), pelo Movimento dos Atingidos pela Base Espacial (MABE), e pelo Movimento de Mulheres Trabalhadoras de Alcântara (MOMTRA).</w:t>
      </w:r>
    </w:p>
  </w:footnote>
  <w:footnote w:id="8">
    <w:p w:rsidR="00DE5586" w:rsidRPr="00770A5F" w:rsidRDefault="00DE5586">
      <w:pPr>
        <w:pStyle w:val="Textodenotaderodap"/>
        <w:rPr>
          <w:sz w:val="20"/>
        </w:rPr>
      </w:pPr>
      <w:r w:rsidRPr="00770A5F">
        <w:rPr>
          <w:rStyle w:val="Refdenotaderodap"/>
          <w:sz w:val="20"/>
        </w:rPr>
        <w:footnoteRef/>
      </w:r>
      <w:r w:rsidRPr="00770A5F">
        <w:rPr>
          <w:sz w:val="20"/>
        </w:rPr>
        <w:t xml:space="preserve"> Da CDHM, CCTCI e CREDN do dia </w:t>
      </w:r>
      <w:r w:rsidRPr="00770A5F">
        <w:rPr>
          <w:color w:val="000000" w:themeColor="text1"/>
          <w:sz w:val="20"/>
        </w:rPr>
        <w:t>10/4/2019.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B14" w:rsidRDefault="00EB4AAD" w:rsidP="00957D5C">
    <w:pPr>
      <w:tabs>
        <w:tab w:val="center" w:pos="4419"/>
        <w:tab w:val="right" w:pos="8838"/>
      </w:tabs>
      <w:suppressAutoHyphens/>
      <w:ind w:firstLine="851"/>
      <w:rPr>
        <w:rFonts w:cs="Arial"/>
        <w:b/>
        <w:sz w:val="24"/>
        <w:szCs w:val="24"/>
      </w:rPr>
    </w:pPr>
    <w:r w:rsidRPr="006F7885">
      <w:rPr>
        <w:noProof/>
      </w:rPr>
      <w:drawing>
        <wp:anchor distT="0" distB="0" distL="114300" distR="114300" simplePos="0" relativeHeight="251660288" behindDoc="1" locked="0" layoutInCell="1" allowOverlap="1" wp14:anchorId="31EF8DBB" wp14:editId="4E1D033B">
          <wp:simplePos x="0" y="0"/>
          <wp:positionH relativeFrom="margin">
            <wp:align>left</wp:align>
          </wp:positionH>
          <wp:positionV relativeFrom="paragraph">
            <wp:posOffset>-95885</wp:posOffset>
          </wp:positionV>
          <wp:extent cx="490710" cy="522515"/>
          <wp:effectExtent l="0" t="0" r="508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710" cy="52251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Pr>
        <w:rFonts w:cs="Arial"/>
        <w:b/>
        <w:sz w:val="24"/>
        <w:szCs w:val="24"/>
      </w:rPr>
      <w:t>CÂMARA DOS DEPUTADOS</w:t>
    </w:r>
  </w:p>
  <w:p w:rsidR="00230B14" w:rsidRPr="00230B14" w:rsidRDefault="00EB4AAD" w:rsidP="00957D5C">
    <w:pPr>
      <w:tabs>
        <w:tab w:val="center" w:pos="4419"/>
        <w:tab w:val="right" w:pos="8838"/>
      </w:tabs>
      <w:suppressAutoHyphens/>
      <w:ind w:firstLine="851"/>
      <w:rPr>
        <w:rFonts w:cs="Arial"/>
        <w:szCs w:val="22"/>
      </w:rPr>
    </w:pPr>
    <w:r w:rsidRPr="00230B14">
      <w:rPr>
        <w:rFonts w:cs="Arial"/>
        <w:szCs w:val="22"/>
      </w:rPr>
      <w:t>Comissão de Direitos Humanos e Minorias</w:t>
    </w:r>
  </w:p>
  <w:p w:rsidR="00230B14" w:rsidRDefault="00E01020" w:rsidP="00230B14">
    <w:pPr>
      <w:tabs>
        <w:tab w:val="center" w:pos="4419"/>
        <w:tab w:val="right" w:pos="8838"/>
      </w:tabs>
      <w:suppressAutoHyphens/>
      <w:ind w:left="851"/>
      <w:rPr>
        <w:rFonts w:cs="Arial"/>
        <w:b/>
        <w:sz w:val="24"/>
        <w:szCs w:val="24"/>
      </w:rPr>
    </w:pPr>
  </w:p>
  <w:p w:rsidR="00956BA4" w:rsidRDefault="00E01020" w:rsidP="00230B14">
    <w:pPr>
      <w:tabs>
        <w:tab w:val="center" w:pos="4419"/>
        <w:tab w:val="right" w:pos="8838"/>
      </w:tabs>
      <w:suppressAutoHyphens/>
      <w:ind w:left="851"/>
      <w:rPr>
        <w:rFonts w:cs="Arial"/>
        <w:b/>
        <w:sz w:val="24"/>
        <w:szCs w:val="24"/>
      </w:rPr>
    </w:pPr>
  </w:p>
  <w:p w:rsidR="00035674" w:rsidRPr="00230B14" w:rsidRDefault="00035674" w:rsidP="00230B14">
    <w:pPr>
      <w:tabs>
        <w:tab w:val="center" w:pos="4419"/>
        <w:tab w:val="right" w:pos="8838"/>
      </w:tabs>
      <w:suppressAutoHyphens/>
      <w:ind w:left="851"/>
      <w:rPr>
        <w:rFonts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34630"/>
    <w:multiLevelType w:val="hybridMultilevel"/>
    <w:tmpl w:val="7ED6633A"/>
    <w:lvl w:ilvl="0" w:tplc="61C8C712">
      <w:start w:val="2"/>
      <w:numFmt w:val="decimal"/>
      <w:lvlText w:val="%1."/>
      <w:lvlJc w:val="left"/>
      <w:pPr>
        <w:tabs>
          <w:tab w:val="num" w:pos="1418"/>
        </w:tabs>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863CFC"/>
    <w:multiLevelType w:val="multilevel"/>
    <w:tmpl w:val="B4DC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F3E81"/>
    <w:multiLevelType w:val="hybridMultilevel"/>
    <w:tmpl w:val="40FEBFFA"/>
    <w:lvl w:ilvl="0" w:tplc="0416000F">
      <w:start w:val="1"/>
      <w:numFmt w:val="decimal"/>
      <w:lvlText w:val="%1."/>
      <w:lvlJc w:val="left"/>
      <w:pPr>
        <w:ind w:left="2137" w:hanging="360"/>
      </w:pPr>
    </w:lvl>
    <w:lvl w:ilvl="1" w:tplc="04160019" w:tentative="1">
      <w:start w:val="1"/>
      <w:numFmt w:val="lowerLetter"/>
      <w:lvlText w:val="%2."/>
      <w:lvlJc w:val="left"/>
      <w:pPr>
        <w:ind w:left="2857" w:hanging="360"/>
      </w:pPr>
    </w:lvl>
    <w:lvl w:ilvl="2" w:tplc="0416001B" w:tentative="1">
      <w:start w:val="1"/>
      <w:numFmt w:val="lowerRoman"/>
      <w:lvlText w:val="%3."/>
      <w:lvlJc w:val="right"/>
      <w:pPr>
        <w:ind w:left="3577" w:hanging="180"/>
      </w:pPr>
    </w:lvl>
    <w:lvl w:ilvl="3" w:tplc="0416000F" w:tentative="1">
      <w:start w:val="1"/>
      <w:numFmt w:val="decimal"/>
      <w:lvlText w:val="%4."/>
      <w:lvlJc w:val="left"/>
      <w:pPr>
        <w:ind w:left="4297" w:hanging="360"/>
      </w:pPr>
    </w:lvl>
    <w:lvl w:ilvl="4" w:tplc="04160019" w:tentative="1">
      <w:start w:val="1"/>
      <w:numFmt w:val="lowerLetter"/>
      <w:lvlText w:val="%5."/>
      <w:lvlJc w:val="left"/>
      <w:pPr>
        <w:ind w:left="5017" w:hanging="360"/>
      </w:pPr>
    </w:lvl>
    <w:lvl w:ilvl="5" w:tplc="0416001B" w:tentative="1">
      <w:start w:val="1"/>
      <w:numFmt w:val="lowerRoman"/>
      <w:lvlText w:val="%6."/>
      <w:lvlJc w:val="right"/>
      <w:pPr>
        <w:ind w:left="5737" w:hanging="180"/>
      </w:pPr>
    </w:lvl>
    <w:lvl w:ilvl="6" w:tplc="0416000F" w:tentative="1">
      <w:start w:val="1"/>
      <w:numFmt w:val="decimal"/>
      <w:lvlText w:val="%7."/>
      <w:lvlJc w:val="left"/>
      <w:pPr>
        <w:ind w:left="6457" w:hanging="360"/>
      </w:pPr>
    </w:lvl>
    <w:lvl w:ilvl="7" w:tplc="04160019" w:tentative="1">
      <w:start w:val="1"/>
      <w:numFmt w:val="lowerLetter"/>
      <w:lvlText w:val="%8."/>
      <w:lvlJc w:val="left"/>
      <w:pPr>
        <w:ind w:left="7177" w:hanging="360"/>
      </w:pPr>
    </w:lvl>
    <w:lvl w:ilvl="8" w:tplc="0416001B" w:tentative="1">
      <w:start w:val="1"/>
      <w:numFmt w:val="lowerRoman"/>
      <w:lvlText w:val="%9."/>
      <w:lvlJc w:val="right"/>
      <w:pPr>
        <w:ind w:left="7897" w:hanging="180"/>
      </w:pPr>
    </w:lvl>
  </w:abstractNum>
  <w:abstractNum w:abstractNumId="3" w15:restartNumberingAfterBreak="0">
    <w:nsid w:val="0D55309D"/>
    <w:multiLevelType w:val="multilevel"/>
    <w:tmpl w:val="5224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E61AE"/>
    <w:multiLevelType w:val="multilevel"/>
    <w:tmpl w:val="124C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74496"/>
    <w:multiLevelType w:val="multilevel"/>
    <w:tmpl w:val="C45A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843FD"/>
    <w:multiLevelType w:val="hybridMultilevel"/>
    <w:tmpl w:val="FB1E63B6"/>
    <w:lvl w:ilvl="0" w:tplc="4A90C534">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24D94ED7"/>
    <w:multiLevelType w:val="multilevel"/>
    <w:tmpl w:val="BF20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C1A05"/>
    <w:multiLevelType w:val="hybridMultilevel"/>
    <w:tmpl w:val="D7A450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9007B73"/>
    <w:multiLevelType w:val="multilevel"/>
    <w:tmpl w:val="9F6A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421999"/>
    <w:multiLevelType w:val="hybridMultilevel"/>
    <w:tmpl w:val="7084D7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E20096F"/>
    <w:multiLevelType w:val="multilevel"/>
    <w:tmpl w:val="4C7E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930F8A"/>
    <w:multiLevelType w:val="multilevel"/>
    <w:tmpl w:val="A59E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116BA1"/>
    <w:multiLevelType w:val="multilevel"/>
    <w:tmpl w:val="BEF4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D12C3"/>
    <w:multiLevelType w:val="multilevel"/>
    <w:tmpl w:val="F9C0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BB4F72"/>
    <w:multiLevelType w:val="multilevel"/>
    <w:tmpl w:val="3718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A721A0"/>
    <w:multiLevelType w:val="multilevel"/>
    <w:tmpl w:val="7A7A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6F248B"/>
    <w:multiLevelType w:val="multilevel"/>
    <w:tmpl w:val="4FD6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C44217"/>
    <w:multiLevelType w:val="hybridMultilevel"/>
    <w:tmpl w:val="65F046E0"/>
    <w:lvl w:ilvl="0" w:tplc="638695FA">
      <w:start w:val="1"/>
      <w:numFmt w:val="decimal"/>
      <w:lvlText w:val="%1."/>
      <w:lvlJc w:val="left"/>
      <w:pPr>
        <w:ind w:left="1778" w:hanging="360"/>
      </w:pPr>
      <w:rPr>
        <w:rFonts w:ascii="Arial" w:eastAsia="Times New Roman" w:hAnsi="Arial" w:cs="Times New Roman"/>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6E8F33E5"/>
    <w:multiLevelType w:val="hybridMultilevel"/>
    <w:tmpl w:val="371456C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ED061D5"/>
    <w:multiLevelType w:val="hybridMultilevel"/>
    <w:tmpl w:val="C6A2B2EC"/>
    <w:lvl w:ilvl="0" w:tplc="436E2B1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6F83451F"/>
    <w:multiLevelType w:val="multilevel"/>
    <w:tmpl w:val="0366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D01DFA"/>
    <w:multiLevelType w:val="multilevel"/>
    <w:tmpl w:val="55D0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3"/>
  </w:num>
  <w:num w:numId="4">
    <w:abstractNumId w:val="15"/>
  </w:num>
  <w:num w:numId="5">
    <w:abstractNumId w:val="14"/>
  </w:num>
  <w:num w:numId="6">
    <w:abstractNumId w:val="9"/>
  </w:num>
  <w:num w:numId="7">
    <w:abstractNumId w:val="4"/>
  </w:num>
  <w:num w:numId="8">
    <w:abstractNumId w:val="17"/>
  </w:num>
  <w:num w:numId="9">
    <w:abstractNumId w:val="5"/>
  </w:num>
  <w:num w:numId="10">
    <w:abstractNumId w:val="7"/>
  </w:num>
  <w:num w:numId="11">
    <w:abstractNumId w:val="21"/>
  </w:num>
  <w:num w:numId="12">
    <w:abstractNumId w:val="16"/>
  </w:num>
  <w:num w:numId="13">
    <w:abstractNumId w:val="12"/>
  </w:num>
  <w:num w:numId="14">
    <w:abstractNumId w:val="1"/>
  </w:num>
  <w:num w:numId="15">
    <w:abstractNumId w:val="13"/>
  </w:num>
  <w:num w:numId="16">
    <w:abstractNumId w:val="22"/>
  </w:num>
  <w:num w:numId="17">
    <w:abstractNumId w:val="19"/>
  </w:num>
  <w:num w:numId="18">
    <w:abstractNumId w:val="8"/>
  </w:num>
  <w:num w:numId="19">
    <w:abstractNumId w:val="20"/>
  </w:num>
  <w:num w:numId="20">
    <w:abstractNumId w:val="18"/>
  </w:num>
  <w:num w:numId="21">
    <w:abstractNumId w:val="6"/>
  </w:num>
  <w:num w:numId="22">
    <w:abstractNumId w:val="1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79C"/>
    <w:rsid w:val="000066F2"/>
    <w:rsid w:val="00013FC4"/>
    <w:rsid w:val="000167CD"/>
    <w:rsid w:val="000266B1"/>
    <w:rsid w:val="00027888"/>
    <w:rsid w:val="0003469D"/>
    <w:rsid w:val="00035674"/>
    <w:rsid w:val="000370DB"/>
    <w:rsid w:val="000374C6"/>
    <w:rsid w:val="00037654"/>
    <w:rsid w:val="00040140"/>
    <w:rsid w:val="00043BD4"/>
    <w:rsid w:val="000450C0"/>
    <w:rsid w:val="000453E2"/>
    <w:rsid w:val="00047229"/>
    <w:rsid w:val="00050557"/>
    <w:rsid w:val="000556B0"/>
    <w:rsid w:val="0006062A"/>
    <w:rsid w:val="00070EEA"/>
    <w:rsid w:val="00074EF9"/>
    <w:rsid w:val="00085B6A"/>
    <w:rsid w:val="00093819"/>
    <w:rsid w:val="00094071"/>
    <w:rsid w:val="000A0BE2"/>
    <w:rsid w:val="000A2C94"/>
    <w:rsid w:val="000A4665"/>
    <w:rsid w:val="000A4689"/>
    <w:rsid w:val="000B4D7C"/>
    <w:rsid w:val="000B5242"/>
    <w:rsid w:val="000C3A06"/>
    <w:rsid w:val="000C5867"/>
    <w:rsid w:val="000D3904"/>
    <w:rsid w:val="000D4685"/>
    <w:rsid w:val="000D4C9E"/>
    <w:rsid w:val="000E0C4B"/>
    <w:rsid w:val="000E0D26"/>
    <w:rsid w:val="000E2C89"/>
    <w:rsid w:val="000E2CAB"/>
    <w:rsid w:val="000E7127"/>
    <w:rsid w:val="000F0C84"/>
    <w:rsid w:val="000F2543"/>
    <w:rsid w:val="000F49CD"/>
    <w:rsid w:val="000F5C85"/>
    <w:rsid w:val="001051BC"/>
    <w:rsid w:val="0010768B"/>
    <w:rsid w:val="0011279C"/>
    <w:rsid w:val="001131EA"/>
    <w:rsid w:val="00116DB6"/>
    <w:rsid w:val="00116E78"/>
    <w:rsid w:val="00121ACA"/>
    <w:rsid w:val="001336B8"/>
    <w:rsid w:val="00136584"/>
    <w:rsid w:val="00137979"/>
    <w:rsid w:val="00150FF3"/>
    <w:rsid w:val="001547B1"/>
    <w:rsid w:val="00155B70"/>
    <w:rsid w:val="00166A21"/>
    <w:rsid w:val="0017094A"/>
    <w:rsid w:val="001738DE"/>
    <w:rsid w:val="00173DEB"/>
    <w:rsid w:val="00180D11"/>
    <w:rsid w:val="00191DC2"/>
    <w:rsid w:val="00194A71"/>
    <w:rsid w:val="00194D32"/>
    <w:rsid w:val="001975D2"/>
    <w:rsid w:val="001A3DD2"/>
    <w:rsid w:val="001B13D9"/>
    <w:rsid w:val="001B17EB"/>
    <w:rsid w:val="001B18DF"/>
    <w:rsid w:val="001B4593"/>
    <w:rsid w:val="001C2D9D"/>
    <w:rsid w:val="001C595A"/>
    <w:rsid w:val="001D149D"/>
    <w:rsid w:val="001D7BD8"/>
    <w:rsid w:val="001E2504"/>
    <w:rsid w:val="001E3D6E"/>
    <w:rsid w:val="001F00BF"/>
    <w:rsid w:val="001F0C21"/>
    <w:rsid w:val="001F4CBC"/>
    <w:rsid w:val="001F4D1A"/>
    <w:rsid w:val="001F72C8"/>
    <w:rsid w:val="002105A7"/>
    <w:rsid w:val="002137F1"/>
    <w:rsid w:val="00221C41"/>
    <w:rsid w:val="00222D95"/>
    <w:rsid w:val="00232D2C"/>
    <w:rsid w:val="00233693"/>
    <w:rsid w:val="0023694F"/>
    <w:rsid w:val="00247C09"/>
    <w:rsid w:val="00250D10"/>
    <w:rsid w:val="00256C35"/>
    <w:rsid w:val="00262170"/>
    <w:rsid w:val="002736FE"/>
    <w:rsid w:val="00274C8B"/>
    <w:rsid w:val="002840CD"/>
    <w:rsid w:val="00286E9E"/>
    <w:rsid w:val="002939B3"/>
    <w:rsid w:val="002A0D36"/>
    <w:rsid w:val="002A32B2"/>
    <w:rsid w:val="002A51AB"/>
    <w:rsid w:val="002A6E25"/>
    <w:rsid w:val="002B0F3B"/>
    <w:rsid w:val="002B41B2"/>
    <w:rsid w:val="002B62CF"/>
    <w:rsid w:val="002B642D"/>
    <w:rsid w:val="002C1C33"/>
    <w:rsid w:val="002C4641"/>
    <w:rsid w:val="002C5442"/>
    <w:rsid w:val="002D18B5"/>
    <w:rsid w:val="002D3BAF"/>
    <w:rsid w:val="002D6E55"/>
    <w:rsid w:val="002D78FD"/>
    <w:rsid w:val="002E1378"/>
    <w:rsid w:val="002E3FBC"/>
    <w:rsid w:val="002E495D"/>
    <w:rsid w:val="003113B0"/>
    <w:rsid w:val="003226AD"/>
    <w:rsid w:val="0032506F"/>
    <w:rsid w:val="00330C48"/>
    <w:rsid w:val="0033612F"/>
    <w:rsid w:val="00342660"/>
    <w:rsid w:val="00343A9C"/>
    <w:rsid w:val="00344CD0"/>
    <w:rsid w:val="003450C2"/>
    <w:rsid w:val="00345C28"/>
    <w:rsid w:val="003525C3"/>
    <w:rsid w:val="003534CF"/>
    <w:rsid w:val="00354044"/>
    <w:rsid w:val="00354E09"/>
    <w:rsid w:val="00361C9C"/>
    <w:rsid w:val="00371493"/>
    <w:rsid w:val="003779D4"/>
    <w:rsid w:val="003800F4"/>
    <w:rsid w:val="0038196C"/>
    <w:rsid w:val="00390BFB"/>
    <w:rsid w:val="0039103E"/>
    <w:rsid w:val="003B0E0B"/>
    <w:rsid w:val="003B39A7"/>
    <w:rsid w:val="003B4782"/>
    <w:rsid w:val="003B7586"/>
    <w:rsid w:val="003D0A84"/>
    <w:rsid w:val="003D74B0"/>
    <w:rsid w:val="003D7D1D"/>
    <w:rsid w:val="003E7768"/>
    <w:rsid w:val="003F689A"/>
    <w:rsid w:val="003F763E"/>
    <w:rsid w:val="004040E4"/>
    <w:rsid w:val="0040750E"/>
    <w:rsid w:val="00410898"/>
    <w:rsid w:val="0041169A"/>
    <w:rsid w:val="004133A1"/>
    <w:rsid w:val="004231D4"/>
    <w:rsid w:val="00424FCD"/>
    <w:rsid w:val="0042703D"/>
    <w:rsid w:val="00430373"/>
    <w:rsid w:val="00437D3D"/>
    <w:rsid w:val="004430C0"/>
    <w:rsid w:val="00450148"/>
    <w:rsid w:val="00451A8C"/>
    <w:rsid w:val="00452F9D"/>
    <w:rsid w:val="004632EC"/>
    <w:rsid w:val="004659F9"/>
    <w:rsid w:val="00477E27"/>
    <w:rsid w:val="00483BD1"/>
    <w:rsid w:val="00486FC5"/>
    <w:rsid w:val="004A09FB"/>
    <w:rsid w:val="004A36B8"/>
    <w:rsid w:val="004A7999"/>
    <w:rsid w:val="004B4C05"/>
    <w:rsid w:val="004C4C75"/>
    <w:rsid w:val="004E6EB7"/>
    <w:rsid w:val="004F0712"/>
    <w:rsid w:val="004F08AD"/>
    <w:rsid w:val="004F38A0"/>
    <w:rsid w:val="004F5DD1"/>
    <w:rsid w:val="0052589A"/>
    <w:rsid w:val="00527C21"/>
    <w:rsid w:val="00532271"/>
    <w:rsid w:val="005426CF"/>
    <w:rsid w:val="00542AF0"/>
    <w:rsid w:val="005453F2"/>
    <w:rsid w:val="00551697"/>
    <w:rsid w:val="00554655"/>
    <w:rsid w:val="0055751E"/>
    <w:rsid w:val="00560888"/>
    <w:rsid w:val="00561283"/>
    <w:rsid w:val="005617F0"/>
    <w:rsid w:val="00562B81"/>
    <w:rsid w:val="00563002"/>
    <w:rsid w:val="005638D6"/>
    <w:rsid w:val="0056517B"/>
    <w:rsid w:val="00572AB7"/>
    <w:rsid w:val="00577279"/>
    <w:rsid w:val="0059431D"/>
    <w:rsid w:val="00595E63"/>
    <w:rsid w:val="005A5164"/>
    <w:rsid w:val="005A789A"/>
    <w:rsid w:val="005B2915"/>
    <w:rsid w:val="005B2C0A"/>
    <w:rsid w:val="005C2601"/>
    <w:rsid w:val="005C406C"/>
    <w:rsid w:val="005C4F65"/>
    <w:rsid w:val="005D4201"/>
    <w:rsid w:val="005D571B"/>
    <w:rsid w:val="005E40DF"/>
    <w:rsid w:val="005E46D2"/>
    <w:rsid w:val="005F0E0D"/>
    <w:rsid w:val="005F24DB"/>
    <w:rsid w:val="005F50E6"/>
    <w:rsid w:val="005F59D2"/>
    <w:rsid w:val="00600687"/>
    <w:rsid w:val="00604D43"/>
    <w:rsid w:val="00605539"/>
    <w:rsid w:val="00607ECB"/>
    <w:rsid w:val="0061096C"/>
    <w:rsid w:val="00614EEF"/>
    <w:rsid w:val="00626566"/>
    <w:rsid w:val="00626EAC"/>
    <w:rsid w:val="00633DDF"/>
    <w:rsid w:val="00646BCA"/>
    <w:rsid w:val="00647478"/>
    <w:rsid w:val="00652C2B"/>
    <w:rsid w:val="00653739"/>
    <w:rsid w:val="00660A74"/>
    <w:rsid w:val="00667482"/>
    <w:rsid w:val="00670EC7"/>
    <w:rsid w:val="006773FC"/>
    <w:rsid w:val="00680D99"/>
    <w:rsid w:val="006830B2"/>
    <w:rsid w:val="0068466F"/>
    <w:rsid w:val="006A16E4"/>
    <w:rsid w:val="006A1A82"/>
    <w:rsid w:val="006A3EA2"/>
    <w:rsid w:val="006B0438"/>
    <w:rsid w:val="006B069C"/>
    <w:rsid w:val="006B3E9E"/>
    <w:rsid w:val="006B3EB5"/>
    <w:rsid w:val="006B5213"/>
    <w:rsid w:val="006C67E5"/>
    <w:rsid w:val="006D0497"/>
    <w:rsid w:val="006D5593"/>
    <w:rsid w:val="006E1C39"/>
    <w:rsid w:val="006F285D"/>
    <w:rsid w:val="006F2DA1"/>
    <w:rsid w:val="006F5901"/>
    <w:rsid w:val="00703331"/>
    <w:rsid w:val="00705D12"/>
    <w:rsid w:val="00705DFD"/>
    <w:rsid w:val="007132B3"/>
    <w:rsid w:val="00716557"/>
    <w:rsid w:val="00726033"/>
    <w:rsid w:val="00737853"/>
    <w:rsid w:val="0074094E"/>
    <w:rsid w:val="0074658F"/>
    <w:rsid w:val="00747B92"/>
    <w:rsid w:val="0075711F"/>
    <w:rsid w:val="00762900"/>
    <w:rsid w:val="00770A5F"/>
    <w:rsid w:val="00776040"/>
    <w:rsid w:val="00781738"/>
    <w:rsid w:val="007A5F37"/>
    <w:rsid w:val="007B2925"/>
    <w:rsid w:val="007C6DF5"/>
    <w:rsid w:val="007D4DB8"/>
    <w:rsid w:val="007E1228"/>
    <w:rsid w:val="007E57F0"/>
    <w:rsid w:val="007E580F"/>
    <w:rsid w:val="007F3C23"/>
    <w:rsid w:val="007F6F5A"/>
    <w:rsid w:val="0081142D"/>
    <w:rsid w:val="008116AB"/>
    <w:rsid w:val="00812234"/>
    <w:rsid w:val="0082206E"/>
    <w:rsid w:val="008228C3"/>
    <w:rsid w:val="00826E25"/>
    <w:rsid w:val="0083199B"/>
    <w:rsid w:val="0084156B"/>
    <w:rsid w:val="00846C96"/>
    <w:rsid w:val="00846E96"/>
    <w:rsid w:val="008524D8"/>
    <w:rsid w:val="0085573A"/>
    <w:rsid w:val="00862AB4"/>
    <w:rsid w:val="00873729"/>
    <w:rsid w:val="0088419C"/>
    <w:rsid w:val="00885BCB"/>
    <w:rsid w:val="00887D30"/>
    <w:rsid w:val="00895B52"/>
    <w:rsid w:val="008A4D78"/>
    <w:rsid w:val="008B10B0"/>
    <w:rsid w:val="008B64BF"/>
    <w:rsid w:val="008C74F0"/>
    <w:rsid w:val="008D35C0"/>
    <w:rsid w:val="008D65A8"/>
    <w:rsid w:val="008D71F9"/>
    <w:rsid w:val="008E053C"/>
    <w:rsid w:val="008E0AAD"/>
    <w:rsid w:val="008E218D"/>
    <w:rsid w:val="00901D12"/>
    <w:rsid w:val="00905F05"/>
    <w:rsid w:val="00912B09"/>
    <w:rsid w:val="00914C99"/>
    <w:rsid w:val="0091666E"/>
    <w:rsid w:val="00934FD1"/>
    <w:rsid w:val="00937FBC"/>
    <w:rsid w:val="0094086D"/>
    <w:rsid w:val="009420EC"/>
    <w:rsid w:val="00945D82"/>
    <w:rsid w:val="00947C70"/>
    <w:rsid w:val="00957D5C"/>
    <w:rsid w:val="00957F4F"/>
    <w:rsid w:val="00964A3F"/>
    <w:rsid w:val="00985433"/>
    <w:rsid w:val="00997C1D"/>
    <w:rsid w:val="009A226E"/>
    <w:rsid w:val="009A263B"/>
    <w:rsid w:val="009A56ED"/>
    <w:rsid w:val="009C73E0"/>
    <w:rsid w:val="009C7FBE"/>
    <w:rsid w:val="009D1DB9"/>
    <w:rsid w:val="009D3CB2"/>
    <w:rsid w:val="009E13A4"/>
    <w:rsid w:val="009E3039"/>
    <w:rsid w:val="009E3AAF"/>
    <w:rsid w:val="00A143DE"/>
    <w:rsid w:val="00A2514E"/>
    <w:rsid w:val="00A36E97"/>
    <w:rsid w:val="00A51265"/>
    <w:rsid w:val="00A60106"/>
    <w:rsid w:val="00A62795"/>
    <w:rsid w:val="00A6309D"/>
    <w:rsid w:val="00A63E85"/>
    <w:rsid w:val="00A65F24"/>
    <w:rsid w:val="00A670CF"/>
    <w:rsid w:val="00A71938"/>
    <w:rsid w:val="00A80006"/>
    <w:rsid w:val="00A86627"/>
    <w:rsid w:val="00A977D5"/>
    <w:rsid w:val="00AA0FC9"/>
    <w:rsid w:val="00AA3B89"/>
    <w:rsid w:val="00AA447F"/>
    <w:rsid w:val="00AA4EB2"/>
    <w:rsid w:val="00AA567E"/>
    <w:rsid w:val="00AB2056"/>
    <w:rsid w:val="00AD122E"/>
    <w:rsid w:val="00AD6E6A"/>
    <w:rsid w:val="00AE22DC"/>
    <w:rsid w:val="00AF6C62"/>
    <w:rsid w:val="00B0091D"/>
    <w:rsid w:val="00B0455A"/>
    <w:rsid w:val="00B11693"/>
    <w:rsid w:val="00B12712"/>
    <w:rsid w:val="00B1698F"/>
    <w:rsid w:val="00B27F4F"/>
    <w:rsid w:val="00B42870"/>
    <w:rsid w:val="00B55E93"/>
    <w:rsid w:val="00B6003F"/>
    <w:rsid w:val="00B62944"/>
    <w:rsid w:val="00B656AC"/>
    <w:rsid w:val="00B749A9"/>
    <w:rsid w:val="00B77D6B"/>
    <w:rsid w:val="00B80FA6"/>
    <w:rsid w:val="00BA42B0"/>
    <w:rsid w:val="00BB0350"/>
    <w:rsid w:val="00BB4FCF"/>
    <w:rsid w:val="00BC3CBC"/>
    <w:rsid w:val="00BC4472"/>
    <w:rsid w:val="00BC5D7D"/>
    <w:rsid w:val="00BC72E9"/>
    <w:rsid w:val="00BD0F28"/>
    <w:rsid w:val="00BD2A5C"/>
    <w:rsid w:val="00BD4F3D"/>
    <w:rsid w:val="00BD723E"/>
    <w:rsid w:val="00BE0ACB"/>
    <w:rsid w:val="00BE36BA"/>
    <w:rsid w:val="00BE558A"/>
    <w:rsid w:val="00BE5B04"/>
    <w:rsid w:val="00BE6D3B"/>
    <w:rsid w:val="00BF150B"/>
    <w:rsid w:val="00C02159"/>
    <w:rsid w:val="00C12F65"/>
    <w:rsid w:val="00C14D51"/>
    <w:rsid w:val="00C156AA"/>
    <w:rsid w:val="00C2047A"/>
    <w:rsid w:val="00C30903"/>
    <w:rsid w:val="00C325E1"/>
    <w:rsid w:val="00C352F1"/>
    <w:rsid w:val="00C35FFC"/>
    <w:rsid w:val="00C4272F"/>
    <w:rsid w:val="00C4348F"/>
    <w:rsid w:val="00C445BB"/>
    <w:rsid w:val="00C50664"/>
    <w:rsid w:val="00C808B2"/>
    <w:rsid w:val="00C8256C"/>
    <w:rsid w:val="00C9077B"/>
    <w:rsid w:val="00C962B6"/>
    <w:rsid w:val="00C964D6"/>
    <w:rsid w:val="00C97CA2"/>
    <w:rsid w:val="00CA34E0"/>
    <w:rsid w:val="00CA7E03"/>
    <w:rsid w:val="00CB1DF8"/>
    <w:rsid w:val="00CB5034"/>
    <w:rsid w:val="00CB5950"/>
    <w:rsid w:val="00CB7FC8"/>
    <w:rsid w:val="00CC26F4"/>
    <w:rsid w:val="00CD22DA"/>
    <w:rsid w:val="00CD7D8C"/>
    <w:rsid w:val="00CE6734"/>
    <w:rsid w:val="00CF6CA4"/>
    <w:rsid w:val="00CF6DEB"/>
    <w:rsid w:val="00D01D14"/>
    <w:rsid w:val="00D12308"/>
    <w:rsid w:val="00D1302E"/>
    <w:rsid w:val="00D2324C"/>
    <w:rsid w:val="00D26581"/>
    <w:rsid w:val="00D355BA"/>
    <w:rsid w:val="00D42072"/>
    <w:rsid w:val="00D453AB"/>
    <w:rsid w:val="00D54E90"/>
    <w:rsid w:val="00D65A08"/>
    <w:rsid w:val="00D70632"/>
    <w:rsid w:val="00D74673"/>
    <w:rsid w:val="00D74EDC"/>
    <w:rsid w:val="00D8053C"/>
    <w:rsid w:val="00D90961"/>
    <w:rsid w:val="00DA227E"/>
    <w:rsid w:val="00DA6038"/>
    <w:rsid w:val="00DB5610"/>
    <w:rsid w:val="00DB626E"/>
    <w:rsid w:val="00DC27A1"/>
    <w:rsid w:val="00DC2EBD"/>
    <w:rsid w:val="00DC36F1"/>
    <w:rsid w:val="00DC3A8F"/>
    <w:rsid w:val="00DD4AD8"/>
    <w:rsid w:val="00DE0292"/>
    <w:rsid w:val="00DE4B35"/>
    <w:rsid w:val="00DE5586"/>
    <w:rsid w:val="00DF17AD"/>
    <w:rsid w:val="00DF1B3F"/>
    <w:rsid w:val="00DF27B8"/>
    <w:rsid w:val="00DF2F7A"/>
    <w:rsid w:val="00E01020"/>
    <w:rsid w:val="00E03C85"/>
    <w:rsid w:val="00E07A64"/>
    <w:rsid w:val="00E17929"/>
    <w:rsid w:val="00E25156"/>
    <w:rsid w:val="00E33588"/>
    <w:rsid w:val="00E46C7D"/>
    <w:rsid w:val="00E50CCF"/>
    <w:rsid w:val="00E524A4"/>
    <w:rsid w:val="00E53AB3"/>
    <w:rsid w:val="00E55812"/>
    <w:rsid w:val="00E66309"/>
    <w:rsid w:val="00E6706A"/>
    <w:rsid w:val="00E743B1"/>
    <w:rsid w:val="00E7504B"/>
    <w:rsid w:val="00E94386"/>
    <w:rsid w:val="00EB0771"/>
    <w:rsid w:val="00EB1B3F"/>
    <w:rsid w:val="00EB4AAD"/>
    <w:rsid w:val="00EB76E6"/>
    <w:rsid w:val="00EB778A"/>
    <w:rsid w:val="00EB7E58"/>
    <w:rsid w:val="00EC6FE6"/>
    <w:rsid w:val="00EC7A20"/>
    <w:rsid w:val="00ED6CD0"/>
    <w:rsid w:val="00ED7A76"/>
    <w:rsid w:val="00EE0B06"/>
    <w:rsid w:val="00EE35FC"/>
    <w:rsid w:val="00EF23CD"/>
    <w:rsid w:val="00F04EB1"/>
    <w:rsid w:val="00F111FF"/>
    <w:rsid w:val="00F1665F"/>
    <w:rsid w:val="00F177FD"/>
    <w:rsid w:val="00F201A3"/>
    <w:rsid w:val="00F212AB"/>
    <w:rsid w:val="00F2455F"/>
    <w:rsid w:val="00F433A1"/>
    <w:rsid w:val="00F436FC"/>
    <w:rsid w:val="00F444CF"/>
    <w:rsid w:val="00F5454E"/>
    <w:rsid w:val="00F54DDC"/>
    <w:rsid w:val="00F559C6"/>
    <w:rsid w:val="00F63EEC"/>
    <w:rsid w:val="00F6588F"/>
    <w:rsid w:val="00F728AC"/>
    <w:rsid w:val="00F76625"/>
    <w:rsid w:val="00F85750"/>
    <w:rsid w:val="00F87072"/>
    <w:rsid w:val="00F950E9"/>
    <w:rsid w:val="00FA08BB"/>
    <w:rsid w:val="00FA26BC"/>
    <w:rsid w:val="00FB26EB"/>
    <w:rsid w:val="00FD5096"/>
    <w:rsid w:val="00FD6FFE"/>
    <w:rsid w:val="00FE1792"/>
    <w:rsid w:val="00FE4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CF4DB418-8492-43E4-8535-58C7ABF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6B8"/>
    <w:pPr>
      <w:spacing w:after="0" w:line="276" w:lineRule="auto"/>
      <w:ind w:firstLine="709"/>
      <w:jc w:val="both"/>
    </w:pPr>
    <w:rPr>
      <w:rFonts w:ascii="Arial" w:eastAsia="Times New Roman" w:hAnsi="Arial" w:cs="Times New Roman"/>
      <w:szCs w:val="20"/>
      <w:lang w:eastAsia="pt-BR"/>
    </w:rPr>
  </w:style>
  <w:style w:type="paragraph" w:styleId="Ttulo1">
    <w:name w:val="heading 1"/>
    <w:basedOn w:val="Normal"/>
    <w:next w:val="Normal"/>
    <w:link w:val="Ttulo1Char"/>
    <w:uiPriority w:val="9"/>
    <w:qFormat/>
    <w:rsid w:val="001336B8"/>
    <w:pPr>
      <w:keepNext/>
      <w:keepLines/>
      <w:spacing w:after="240"/>
      <w:outlineLvl w:val="0"/>
    </w:pPr>
    <w:rPr>
      <w:rFonts w:eastAsiaTheme="majorEastAsia" w:cstheme="majorBidi"/>
      <w:b/>
      <w:sz w:val="32"/>
      <w:szCs w:val="32"/>
    </w:rPr>
  </w:style>
  <w:style w:type="paragraph" w:styleId="Ttulo2">
    <w:name w:val="heading 2"/>
    <w:basedOn w:val="Normal"/>
    <w:next w:val="Normal"/>
    <w:link w:val="Ttulo2Char"/>
    <w:uiPriority w:val="9"/>
    <w:unhideWhenUsed/>
    <w:qFormat/>
    <w:rsid w:val="005F0E0D"/>
    <w:pPr>
      <w:keepNext/>
      <w:keepLines/>
      <w:spacing w:after="120"/>
      <w:ind w:firstLine="0"/>
      <w:outlineLvl w:val="1"/>
    </w:pPr>
    <w:rPr>
      <w:rFonts w:eastAsiaTheme="majorEastAsia" w:cstheme="majorBidi"/>
      <w:b/>
      <w:sz w:val="26"/>
      <w:szCs w:val="26"/>
      <w:u w:val="single"/>
    </w:rPr>
  </w:style>
  <w:style w:type="paragraph" w:styleId="Ttulo3">
    <w:name w:val="heading 3"/>
    <w:basedOn w:val="Normal"/>
    <w:next w:val="Normal"/>
    <w:link w:val="Ttulo3Char"/>
    <w:uiPriority w:val="9"/>
    <w:unhideWhenUsed/>
    <w:qFormat/>
    <w:rsid w:val="00626EA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unhideWhenUsed/>
    <w:qFormat/>
    <w:rsid w:val="00626EA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1279C"/>
    <w:rPr>
      <w:color w:val="0563C1" w:themeColor="hyperlink"/>
      <w:u w:val="single"/>
    </w:rPr>
  </w:style>
  <w:style w:type="paragraph" w:styleId="Textodebalo">
    <w:name w:val="Balloon Text"/>
    <w:basedOn w:val="Normal"/>
    <w:link w:val="TextodebaloChar"/>
    <w:uiPriority w:val="99"/>
    <w:semiHidden/>
    <w:unhideWhenUsed/>
    <w:rsid w:val="006F5901"/>
    <w:rPr>
      <w:rFonts w:ascii="Segoe UI" w:hAnsi="Segoe UI" w:cs="Segoe UI"/>
      <w:sz w:val="18"/>
      <w:szCs w:val="18"/>
    </w:rPr>
  </w:style>
  <w:style w:type="character" w:customStyle="1" w:styleId="TextodebaloChar">
    <w:name w:val="Texto de balão Char"/>
    <w:basedOn w:val="Fontepargpadro"/>
    <w:link w:val="Textodebalo"/>
    <w:uiPriority w:val="99"/>
    <w:semiHidden/>
    <w:rsid w:val="006F5901"/>
    <w:rPr>
      <w:rFonts w:ascii="Segoe UI" w:eastAsia="Times New Roman" w:hAnsi="Segoe UI" w:cs="Segoe UI"/>
      <w:sz w:val="18"/>
      <w:szCs w:val="18"/>
      <w:lang w:eastAsia="pt-BR"/>
    </w:rPr>
  </w:style>
  <w:style w:type="paragraph" w:customStyle="1" w:styleId="Default">
    <w:name w:val="Default"/>
    <w:rsid w:val="00A62795"/>
    <w:pPr>
      <w:autoSpaceDE w:val="0"/>
      <w:autoSpaceDN w:val="0"/>
      <w:adjustRightInd w:val="0"/>
      <w:spacing w:after="0" w:line="240" w:lineRule="auto"/>
    </w:pPr>
    <w:rPr>
      <w:rFonts w:ascii="Arial" w:hAnsi="Arial" w:cs="Arial"/>
      <w:color w:val="000000"/>
      <w:sz w:val="24"/>
      <w:szCs w:val="24"/>
    </w:rPr>
  </w:style>
  <w:style w:type="character" w:styleId="nfase">
    <w:name w:val="Emphasis"/>
    <w:basedOn w:val="Fontepargpadro"/>
    <w:uiPriority w:val="20"/>
    <w:qFormat/>
    <w:rsid w:val="00A62795"/>
    <w:rPr>
      <w:i/>
      <w:iCs/>
    </w:rPr>
  </w:style>
  <w:style w:type="paragraph" w:styleId="Cabealho">
    <w:name w:val="header"/>
    <w:basedOn w:val="Normal"/>
    <w:link w:val="CabealhoChar"/>
    <w:uiPriority w:val="99"/>
    <w:unhideWhenUsed/>
    <w:rsid w:val="005C4F65"/>
    <w:pPr>
      <w:tabs>
        <w:tab w:val="center" w:pos="4252"/>
        <w:tab w:val="right" w:pos="8504"/>
      </w:tabs>
    </w:pPr>
  </w:style>
  <w:style w:type="character" w:customStyle="1" w:styleId="CabealhoChar">
    <w:name w:val="Cabeçalho Char"/>
    <w:basedOn w:val="Fontepargpadro"/>
    <w:link w:val="Cabealho"/>
    <w:uiPriority w:val="99"/>
    <w:rsid w:val="005C4F6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5C4F65"/>
    <w:pPr>
      <w:tabs>
        <w:tab w:val="center" w:pos="4252"/>
        <w:tab w:val="right" w:pos="8504"/>
      </w:tabs>
    </w:pPr>
  </w:style>
  <w:style w:type="character" w:customStyle="1" w:styleId="RodapChar">
    <w:name w:val="Rodapé Char"/>
    <w:basedOn w:val="Fontepargpadro"/>
    <w:link w:val="Rodap"/>
    <w:uiPriority w:val="99"/>
    <w:rsid w:val="005C4F65"/>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semiHidden/>
    <w:unhideWhenUsed/>
    <w:rsid w:val="00F04EB1"/>
  </w:style>
  <w:style w:type="character" w:customStyle="1" w:styleId="TextodenotaderodapChar">
    <w:name w:val="Texto de nota de rodapé Char"/>
    <w:basedOn w:val="Fontepargpadro"/>
    <w:link w:val="Textodenotaderodap"/>
    <w:uiPriority w:val="99"/>
    <w:semiHidden/>
    <w:rsid w:val="00F04EB1"/>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F04EB1"/>
    <w:rPr>
      <w:vertAlign w:val="superscript"/>
    </w:rPr>
  </w:style>
  <w:style w:type="paragraph" w:styleId="PargrafodaLista">
    <w:name w:val="List Paragraph"/>
    <w:basedOn w:val="Normal"/>
    <w:uiPriority w:val="34"/>
    <w:qFormat/>
    <w:rsid w:val="00E07A64"/>
    <w:pPr>
      <w:ind w:left="720"/>
      <w:contextualSpacing/>
    </w:pPr>
  </w:style>
  <w:style w:type="table" w:styleId="Tabelacomgrade">
    <w:name w:val="Table Grid"/>
    <w:basedOn w:val="Tabelanormal"/>
    <w:uiPriority w:val="39"/>
    <w:rsid w:val="00E07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1666E"/>
    <w:pPr>
      <w:spacing w:before="100" w:beforeAutospacing="1" w:after="100" w:afterAutospacing="1"/>
    </w:pPr>
    <w:rPr>
      <w:sz w:val="24"/>
      <w:szCs w:val="24"/>
    </w:rPr>
  </w:style>
  <w:style w:type="character" w:customStyle="1" w:styleId="Ttulo1Char">
    <w:name w:val="Título 1 Char"/>
    <w:basedOn w:val="Fontepargpadro"/>
    <w:link w:val="Ttulo1"/>
    <w:uiPriority w:val="9"/>
    <w:rsid w:val="001336B8"/>
    <w:rPr>
      <w:rFonts w:ascii="Arial" w:eastAsiaTheme="majorEastAsia" w:hAnsi="Arial" w:cstheme="majorBidi"/>
      <w:b/>
      <w:sz w:val="32"/>
      <w:szCs w:val="32"/>
      <w:lang w:eastAsia="pt-BR"/>
    </w:rPr>
  </w:style>
  <w:style w:type="character" w:customStyle="1" w:styleId="Ttulo2Char">
    <w:name w:val="Título 2 Char"/>
    <w:basedOn w:val="Fontepargpadro"/>
    <w:link w:val="Ttulo2"/>
    <w:uiPriority w:val="9"/>
    <w:rsid w:val="005F0E0D"/>
    <w:rPr>
      <w:rFonts w:ascii="Arial" w:eastAsiaTheme="majorEastAsia" w:hAnsi="Arial" w:cstheme="majorBidi"/>
      <w:b/>
      <w:sz w:val="26"/>
      <w:szCs w:val="26"/>
      <w:u w:val="single"/>
      <w:lang w:eastAsia="pt-BR"/>
    </w:rPr>
  </w:style>
  <w:style w:type="character" w:styleId="Forte">
    <w:name w:val="Strong"/>
    <w:basedOn w:val="Fontepargpadro"/>
    <w:uiPriority w:val="22"/>
    <w:qFormat/>
    <w:rsid w:val="006D0497"/>
    <w:rPr>
      <w:b/>
      <w:bCs/>
    </w:rPr>
  </w:style>
  <w:style w:type="character" w:customStyle="1" w:styleId="Ttulo3Char">
    <w:name w:val="Título 3 Char"/>
    <w:basedOn w:val="Fontepargpadro"/>
    <w:link w:val="Ttulo3"/>
    <w:uiPriority w:val="9"/>
    <w:rsid w:val="00626EAC"/>
    <w:rPr>
      <w:rFonts w:asciiTheme="majorHAnsi" w:eastAsiaTheme="majorEastAsia" w:hAnsiTheme="majorHAnsi" w:cstheme="majorBidi"/>
      <w:color w:val="1F4D78" w:themeColor="accent1" w:themeShade="7F"/>
      <w:sz w:val="24"/>
      <w:szCs w:val="24"/>
      <w:lang w:eastAsia="pt-BR"/>
    </w:rPr>
  </w:style>
  <w:style w:type="character" w:customStyle="1" w:styleId="Ttulo4Char">
    <w:name w:val="Título 4 Char"/>
    <w:basedOn w:val="Fontepargpadro"/>
    <w:link w:val="Ttulo4"/>
    <w:uiPriority w:val="9"/>
    <w:rsid w:val="00626EAC"/>
    <w:rPr>
      <w:rFonts w:asciiTheme="majorHAnsi" w:eastAsiaTheme="majorEastAsia" w:hAnsiTheme="majorHAnsi" w:cstheme="majorBidi"/>
      <w:i/>
      <w:iCs/>
      <w:color w:val="2E74B5" w:themeColor="accent1" w:themeShade="BF"/>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4377">
      <w:bodyDiv w:val="1"/>
      <w:marLeft w:val="0"/>
      <w:marRight w:val="0"/>
      <w:marTop w:val="0"/>
      <w:marBottom w:val="0"/>
      <w:divBdr>
        <w:top w:val="none" w:sz="0" w:space="0" w:color="auto"/>
        <w:left w:val="none" w:sz="0" w:space="0" w:color="auto"/>
        <w:bottom w:val="none" w:sz="0" w:space="0" w:color="auto"/>
        <w:right w:val="none" w:sz="0" w:space="0" w:color="auto"/>
      </w:divBdr>
    </w:div>
    <w:div w:id="302466144">
      <w:bodyDiv w:val="1"/>
      <w:marLeft w:val="0"/>
      <w:marRight w:val="0"/>
      <w:marTop w:val="0"/>
      <w:marBottom w:val="0"/>
      <w:divBdr>
        <w:top w:val="none" w:sz="0" w:space="0" w:color="auto"/>
        <w:left w:val="none" w:sz="0" w:space="0" w:color="auto"/>
        <w:bottom w:val="none" w:sz="0" w:space="0" w:color="auto"/>
        <w:right w:val="none" w:sz="0" w:space="0" w:color="auto"/>
      </w:divBdr>
    </w:div>
    <w:div w:id="340668840">
      <w:bodyDiv w:val="1"/>
      <w:marLeft w:val="0"/>
      <w:marRight w:val="0"/>
      <w:marTop w:val="0"/>
      <w:marBottom w:val="0"/>
      <w:divBdr>
        <w:top w:val="none" w:sz="0" w:space="0" w:color="auto"/>
        <w:left w:val="none" w:sz="0" w:space="0" w:color="auto"/>
        <w:bottom w:val="none" w:sz="0" w:space="0" w:color="auto"/>
        <w:right w:val="none" w:sz="0" w:space="0" w:color="auto"/>
      </w:divBdr>
    </w:div>
    <w:div w:id="640307458">
      <w:bodyDiv w:val="1"/>
      <w:marLeft w:val="0"/>
      <w:marRight w:val="0"/>
      <w:marTop w:val="0"/>
      <w:marBottom w:val="0"/>
      <w:divBdr>
        <w:top w:val="none" w:sz="0" w:space="0" w:color="auto"/>
        <w:left w:val="none" w:sz="0" w:space="0" w:color="auto"/>
        <w:bottom w:val="none" w:sz="0" w:space="0" w:color="auto"/>
        <w:right w:val="none" w:sz="0" w:space="0" w:color="auto"/>
      </w:divBdr>
    </w:div>
    <w:div w:id="1093404427">
      <w:bodyDiv w:val="1"/>
      <w:marLeft w:val="0"/>
      <w:marRight w:val="0"/>
      <w:marTop w:val="0"/>
      <w:marBottom w:val="0"/>
      <w:divBdr>
        <w:top w:val="none" w:sz="0" w:space="0" w:color="auto"/>
        <w:left w:val="none" w:sz="0" w:space="0" w:color="auto"/>
        <w:bottom w:val="none" w:sz="0" w:space="0" w:color="auto"/>
        <w:right w:val="none" w:sz="0" w:space="0" w:color="auto"/>
      </w:divBdr>
    </w:div>
    <w:div w:id="1179585545">
      <w:bodyDiv w:val="1"/>
      <w:marLeft w:val="0"/>
      <w:marRight w:val="0"/>
      <w:marTop w:val="0"/>
      <w:marBottom w:val="0"/>
      <w:divBdr>
        <w:top w:val="none" w:sz="0" w:space="0" w:color="auto"/>
        <w:left w:val="none" w:sz="0" w:space="0" w:color="auto"/>
        <w:bottom w:val="none" w:sz="0" w:space="0" w:color="auto"/>
        <w:right w:val="none" w:sz="0" w:space="0" w:color="auto"/>
      </w:divBdr>
    </w:div>
    <w:div w:id="1240596633">
      <w:bodyDiv w:val="1"/>
      <w:marLeft w:val="0"/>
      <w:marRight w:val="0"/>
      <w:marTop w:val="0"/>
      <w:marBottom w:val="0"/>
      <w:divBdr>
        <w:top w:val="none" w:sz="0" w:space="0" w:color="auto"/>
        <w:left w:val="none" w:sz="0" w:space="0" w:color="auto"/>
        <w:bottom w:val="none" w:sz="0" w:space="0" w:color="auto"/>
        <w:right w:val="none" w:sz="0" w:space="0" w:color="auto"/>
      </w:divBdr>
    </w:div>
    <w:div w:id="1243493343">
      <w:bodyDiv w:val="1"/>
      <w:marLeft w:val="0"/>
      <w:marRight w:val="0"/>
      <w:marTop w:val="0"/>
      <w:marBottom w:val="0"/>
      <w:divBdr>
        <w:top w:val="none" w:sz="0" w:space="0" w:color="auto"/>
        <w:left w:val="none" w:sz="0" w:space="0" w:color="auto"/>
        <w:bottom w:val="none" w:sz="0" w:space="0" w:color="auto"/>
        <w:right w:val="none" w:sz="0" w:space="0" w:color="auto"/>
      </w:divBdr>
    </w:div>
    <w:div w:id="1314291018">
      <w:bodyDiv w:val="1"/>
      <w:marLeft w:val="0"/>
      <w:marRight w:val="0"/>
      <w:marTop w:val="0"/>
      <w:marBottom w:val="0"/>
      <w:divBdr>
        <w:top w:val="none" w:sz="0" w:space="0" w:color="auto"/>
        <w:left w:val="none" w:sz="0" w:space="0" w:color="auto"/>
        <w:bottom w:val="none" w:sz="0" w:space="0" w:color="auto"/>
        <w:right w:val="none" w:sz="0" w:space="0" w:color="auto"/>
      </w:divBdr>
    </w:div>
    <w:div w:id="1555970217">
      <w:bodyDiv w:val="1"/>
      <w:marLeft w:val="0"/>
      <w:marRight w:val="0"/>
      <w:marTop w:val="0"/>
      <w:marBottom w:val="0"/>
      <w:divBdr>
        <w:top w:val="none" w:sz="0" w:space="0" w:color="auto"/>
        <w:left w:val="none" w:sz="0" w:space="0" w:color="auto"/>
        <w:bottom w:val="none" w:sz="0" w:space="0" w:color="auto"/>
        <w:right w:val="none" w:sz="0" w:space="0" w:color="auto"/>
      </w:divBdr>
    </w:div>
    <w:div w:id="1628466686">
      <w:bodyDiv w:val="1"/>
      <w:marLeft w:val="0"/>
      <w:marRight w:val="0"/>
      <w:marTop w:val="0"/>
      <w:marBottom w:val="0"/>
      <w:divBdr>
        <w:top w:val="none" w:sz="0" w:space="0" w:color="auto"/>
        <w:left w:val="none" w:sz="0" w:space="0" w:color="auto"/>
        <w:bottom w:val="none" w:sz="0" w:space="0" w:color="auto"/>
        <w:right w:val="none" w:sz="0" w:space="0" w:color="auto"/>
      </w:divBdr>
    </w:div>
    <w:div w:id="165872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mma.gov.br/estruturas/168/_publicacao/168_publicacao0302200910583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F240A-3999-48BB-B1D1-10F5E8ABE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2850</Words>
  <Characters>15390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18204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Adla Micheline</dc:creator>
  <cp:keywords/>
  <dc:description/>
  <cp:lastModifiedBy>Marina Basso Lacerda</cp:lastModifiedBy>
  <cp:revision>5</cp:revision>
  <cp:lastPrinted>2019-07-10T18:28:00Z</cp:lastPrinted>
  <dcterms:created xsi:type="dcterms:W3CDTF">2019-08-14T18:30:00Z</dcterms:created>
  <dcterms:modified xsi:type="dcterms:W3CDTF">2019-08-14T18:38:00Z</dcterms:modified>
</cp:coreProperties>
</file>