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4FC83" w14:textId="49989E5B" w:rsidR="00F318C9" w:rsidRPr="000B6D12" w:rsidRDefault="00F318C9" w:rsidP="00FF44C1">
      <w:pPr>
        <w:pBdr>
          <w:top w:val="nil"/>
          <w:left w:val="nil"/>
          <w:bottom w:val="nil"/>
          <w:right w:val="nil"/>
          <w:between w:val="nil"/>
        </w:pBdr>
        <w:spacing w:after="240" w:line="240" w:lineRule="auto"/>
        <w:ind w:left="0" w:hanging="2"/>
        <w:jc w:val="center"/>
        <w:rPr>
          <w:rFonts w:ascii="Arial" w:eastAsia="Arial" w:hAnsi="Arial" w:cs="Arial"/>
          <w:b/>
          <w:color w:val="000000"/>
          <w:sz w:val="24"/>
          <w:szCs w:val="28"/>
        </w:rPr>
      </w:pPr>
      <w:bookmarkStart w:id="0" w:name="_GoBack"/>
      <w:bookmarkEnd w:id="0"/>
      <w:r w:rsidRPr="000B6D12">
        <w:rPr>
          <w:rFonts w:ascii="Arial" w:eastAsia="Arial" w:hAnsi="Arial" w:cs="Arial"/>
          <w:b/>
          <w:color w:val="000000"/>
          <w:sz w:val="24"/>
          <w:szCs w:val="28"/>
        </w:rPr>
        <w:t xml:space="preserve">Apêndice A – </w:t>
      </w:r>
      <w:r w:rsidR="00CD1C2A">
        <w:rPr>
          <w:rFonts w:ascii="Arial" w:eastAsia="Arial" w:hAnsi="Arial" w:cs="Arial"/>
          <w:b/>
          <w:color w:val="000000"/>
          <w:sz w:val="24"/>
          <w:szCs w:val="28"/>
        </w:rPr>
        <w:t>V</w:t>
      </w:r>
      <w:r w:rsidRPr="000B6D12">
        <w:rPr>
          <w:rFonts w:ascii="Arial" w:eastAsia="Arial" w:hAnsi="Arial" w:cs="Arial"/>
          <w:b/>
          <w:color w:val="000000"/>
          <w:sz w:val="24"/>
          <w:szCs w:val="28"/>
        </w:rPr>
        <w:t>isão analítica do monitoramento</w:t>
      </w:r>
    </w:p>
    <w:p w14:paraId="3E374A29" w14:textId="77777777" w:rsidR="00B44014" w:rsidRDefault="002E43F0" w:rsidP="00FF44C1">
      <w:pPr>
        <w:pBdr>
          <w:top w:val="nil"/>
          <w:left w:val="nil"/>
          <w:bottom w:val="nil"/>
          <w:right w:val="nil"/>
          <w:between w:val="nil"/>
        </w:pBdr>
        <w:spacing w:after="240" w:line="240" w:lineRule="auto"/>
        <w:ind w:left="0" w:hanging="2"/>
        <w:jc w:val="center"/>
        <w:rPr>
          <w:rFonts w:ascii="Arial" w:eastAsia="Arial" w:hAnsi="Arial" w:cs="Arial"/>
          <w:b/>
          <w:color w:val="000000"/>
          <w:sz w:val="24"/>
          <w:szCs w:val="28"/>
        </w:rPr>
      </w:pPr>
      <w:r w:rsidRPr="000B6D12">
        <w:rPr>
          <w:rFonts w:ascii="Arial" w:eastAsia="Arial" w:hAnsi="Arial" w:cs="Arial"/>
          <w:b/>
          <w:color w:val="000000"/>
          <w:sz w:val="24"/>
          <w:szCs w:val="28"/>
        </w:rPr>
        <w:t>Quadro 1 - Recomendações atendidas ou baixadas em monitoramentos anteriores</w:t>
      </w:r>
    </w:p>
    <w:p w14:paraId="219C7217" w14:textId="77777777" w:rsidR="00B10F5F" w:rsidRPr="000B6D12" w:rsidRDefault="00B10F5F" w:rsidP="00FF44C1">
      <w:pPr>
        <w:pBdr>
          <w:top w:val="nil"/>
          <w:left w:val="nil"/>
          <w:bottom w:val="nil"/>
          <w:right w:val="nil"/>
          <w:between w:val="nil"/>
        </w:pBdr>
        <w:spacing w:after="240" w:line="240" w:lineRule="auto"/>
        <w:ind w:left="0" w:hanging="2"/>
        <w:jc w:val="center"/>
        <w:rPr>
          <w:rFonts w:ascii="Arial" w:eastAsia="Arial" w:hAnsi="Arial" w:cs="Arial"/>
          <w:color w:val="000000"/>
          <w:sz w:val="24"/>
          <w:szCs w:val="28"/>
        </w:rPr>
      </w:pPr>
    </w:p>
    <w:p w14:paraId="6A24D185" w14:textId="77777777" w:rsidR="00B44014" w:rsidRPr="00BE1FA0" w:rsidRDefault="00B44014">
      <w:pPr>
        <w:pBdr>
          <w:top w:val="nil"/>
          <w:left w:val="nil"/>
          <w:bottom w:val="nil"/>
          <w:right w:val="nil"/>
          <w:between w:val="nil"/>
        </w:pBdr>
        <w:spacing w:line="240" w:lineRule="auto"/>
        <w:jc w:val="both"/>
        <w:rPr>
          <w:rFonts w:ascii="Arial" w:eastAsia="Arial" w:hAnsi="Arial" w:cs="Arial"/>
          <w:color w:val="000000"/>
          <w:sz w:val="12"/>
          <w:szCs w:val="12"/>
        </w:rPr>
      </w:pPr>
    </w:p>
    <w:tbl>
      <w:tblPr>
        <w:tblStyle w:val="a"/>
        <w:tblW w:w="21390"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95"/>
        <w:gridCol w:w="7379"/>
        <w:gridCol w:w="517"/>
        <w:gridCol w:w="1215"/>
        <w:gridCol w:w="1181"/>
        <w:gridCol w:w="9703"/>
      </w:tblGrid>
      <w:tr w:rsidR="00B44014" w:rsidRPr="0071567D" w14:paraId="72D0A446" w14:textId="77777777" w:rsidTr="00F318C9">
        <w:trPr>
          <w:cantSplit/>
          <w:trHeight w:val="370"/>
          <w:tblHeader/>
        </w:trPr>
        <w:tc>
          <w:tcPr>
            <w:tcW w:w="8774" w:type="dxa"/>
            <w:gridSpan w:val="2"/>
            <w:vMerge w:val="restart"/>
            <w:shd w:val="clear" w:color="auto" w:fill="F2F2F2"/>
            <w:vAlign w:val="center"/>
          </w:tcPr>
          <w:p w14:paraId="2186D839" w14:textId="77777777" w:rsidR="00B44014" w:rsidRPr="0071567D" w:rsidRDefault="002E43F0" w:rsidP="00F318C9">
            <w:pPr>
              <w:pBdr>
                <w:top w:val="nil"/>
                <w:left w:val="nil"/>
                <w:bottom w:val="nil"/>
                <w:right w:val="nil"/>
                <w:between w:val="nil"/>
              </w:pBdr>
              <w:tabs>
                <w:tab w:val="left" w:pos="993"/>
              </w:tabs>
              <w:spacing w:line="240" w:lineRule="auto"/>
              <w:ind w:left="0" w:hanging="2"/>
              <w:jc w:val="center"/>
              <w:rPr>
                <w:rFonts w:ascii="Arial" w:eastAsia="Arial" w:hAnsi="Arial" w:cs="Arial"/>
                <w:b/>
                <w:color w:val="000000"/>
              </w:rPr>
            </w:pPr>
            <w:r w:rsidRPr="0071567D">
              <w:rPr>
                <w:rFonts w:ascii="Arial" w:eastAsia="Arial" w:hAnsi="Arial" w:cs="Arial"/>
                <w:b/>
                <w:color w:val="000000"/>
              </w:rPr>
              <w:t>Recomendação</w:t>
            </w:r>
          </w:p>
        </w:tc>
        <w:tc>
          <w:tcPr>
            <w:tcW w:w="2913" w:type="dxa"/>
            <w:gridSpan w:val="3"/>
            <w:shd w:val="clear" w:color="auto" w:fill="F2F2F2"/>
            <w:vAlign w:val="center"/>
          </w:tcPr>
          <w:p w14:paraId="4D21D4AE" w14:textId="77777777" w:rsidR="00B44014" w:rsidRPr="0071567D" w:rsidRDefault="002E43F0" w:rsidP="00F318C9">
            <w:pPr>
              <w:pBdr>
                <w:top w:val="nil"/>
                <w:left w:val="nil"/>
                <w:bottom w:val="nil"/>
                <w:right w:val="nil"/>
                <w:between w:val="nil"/>
              </w:pBdr>
              <w:tabs>
                <w:tab w:val="left" w:pos="993"/>
              </w:tabs>
              <w:spacing w:line="240" w:lineRule="auto"/>
              <w:ind w:left="0" w:hanging="2"/>
              <w:jc w:val="center"/>
              <w:rPr>
                <w:rFonts w:ascii="Arial" w:eastAsia="Arial" w:hAnsi="Arial" w:cs="Arial"/>
                <w:b/>
                <w:color w:val="000000"/>
              </w:rPr>
            </w:pPr>
            <w:r w:rsidRPr="0071567D">
              <w:rPr>
                <w:rFonts w:ascii="Arial" w:eastAsia="Arial" w:hAnsi="Arial" w:cs="Arial"/>
                <w:b/>
                <w:color w:val="000000"/>
              </w:rPr>
              <w:t>Monitoramento</w:t>
            </w:r>
          </w:p>
        </w:tc>
        <w:tc>
          <w:tcPr>
            <w:tcW w:w="9703" w:type="dxa"/>
            <w:vMerge w:val="restart"/>
            <w:shd w:val="clear" w:color="auto" w:fill="F2F2F2"/>
            <w:vAlign w:val="center"/>
          </w:tcPr>
          <w:p w14:paraId="25E8E61D" w14:textId="77777777" w:rsidR="00B44014" w:rsidRPr="0071567D" w:rsidRDefault="002E43F0" w:rsidP="00F318C9">
            <w:pPr>
              <w:pBdr>
                <w:top w:val="nil"/>
                <w:left w:val="nil"/>
                <w:bottom w:val="nil"/>
                <w:right w:val="nil"/>
                <w:between w:val="nil"/>
              </w:pBdr>
              <w:tabs>
                <w:tab w:val="left" w:pos="993"/>
              </w:tabs>
              <w:spacing w:line="240" w:lineRule="auto"/>
              <w:ind w:left="0" w:hanging="2"/>
              <w:jc w:val="center"/>
              <w:rPr>
                <w:rFonts w:ascii="Arial" w:eastAsia="Arial" w:hAnsi="Arial" w:cs="Arial"/>
                <w:b/>
                <w:color w:val="000000"/>
              </w:rPr>
            </w:pPr>
            <w:r w:rsidRPr="0071567D">
              <w:rPr>
                <w:rFonts w:ascii="Arial" w:eastAsia="Arial" w:hAnsi="Arial" w:cs="Arial"/>
                <w:b/>
                <w:color w:val="000000"/>
              </w:rPr>
              <w:t>Providências informadas pelo gestor</w:t>
            </w:r>
          </w:p>
        </w:tc>
      </w:tr>
      <w:tr w:rsidR="00B44014" w:rsidRPr="0071567D" w14:paraId="082C02DA" w14:textId="77777777" w:rsidTr="00F318C9">
        <w:trPr>
          <w:cantSplit/>
        </w:trPr>
        <w:tc>
          <w:tcPr>
            <w:tcW w:w="8774" w:type="dxa"/>
            <w:gridSpan w:val="2"/>
            <w:vMerge/>
            <w:shd w:val="clear" w:color="auto" w:fill="A8D08D"/>
            <w:vAlign w:val="center"/>
          </w:tcPr>
          <w:p w14:paraId="493B050B" w14:textId="77777777" w:rsidR="00B44014" w:rsidRPr="0071567D" w:rsidRDefault="00B44014">
            <w:pPr>
              <w:widowControl w:val="0"/>
              <w:pBdr>
                <w:top w:val="nil"/>
                <w:left w:val="nil"/>
                <w:bottom w:val="nil"/>
                <w:right w:val="nil"/>
                <w:between w:val="nil"/>
              </w:pBdr>
              <w:spacing w:line="276" w:lineRule="auto"/>
              <w:ind w:left="0" w:hanging="2"/>
              <w:rPr>
                <w:rFonts w:ascii="Arial" w:eastAsia="Arial" w:hAnsi="Arial" w:cs="Arial"/>
                <w:color w:val="000000"/>
              </w:rPr>
            </w:pPr>
          </w:p>
        </w:tc>
        <w:tc>
          <w:tcPr>
            <w:tcW w:w="517" w:type="dxa"/>
            <w:shd w:val="clear" w:color="auto" w:fill="F2F2F2"/>
            <w:vAlign w:val="center"/>
          </w:tcPr>
          <w:p w14:paraId="783D5B52" w14:textId="367E65AD" w:rsidR="00B44014" w:rsidRPr="0071567D" w:rsidRDefault="00FC5EF6">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b/>
                <w:color w:val="000000"/>
              </w:rPr>
              <w:t>N</w:t>
            </w:r>
            <w:r w:rsidR="003B59F8" w:rsidRPr="0071567D">
              <w:rPr>
                <w:rFonts w:ascii="Arial" w:eastAsia="Arial" w:hAnsi="Arial" w:cs="Arial"/>
                <w:b/>
                <w:color w:val="000000"/>
              </w:rPr>
              <w:t>º*</w:t>
            </w:r>
          </w:p>
        </w:tc>
        <w:tc>
          <w:tcPr>
            <w:tcW w:w="1215" w:type="dxa"/>
            <w:shd w:val="clear" w:color="auto" w:fill="F2F2F2"/>
            <w:vAlign w:val="center"/>
          </w:tcPr>
          <w:p w14:paraId="64E5614E" w14:textId="77777777" w:rsidR="00B44014" w:rsidRPr="0071567D" w:rsidRDefault="002E43F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b/>
                <w:color w:val="000000"/>
              </w:rPr>
              <w:t>Data</w:t>
            </w:r>
          </w:p>
        </w:tc>
        <w:tc>
          <w:tcPr>
            <w:tcW w:w="1181" w:type="dxa"/>
            <w:shd w:val="clear" w:color="auto" w:fill="F2F2F2"/>
            <w:vAlign w:val="center"/>
          </w:tcPr>
          <w:p w14:paraId="4ED2EBBD" w14:textId="77777777" w:rsidR="00B44014" w:rsidRPr="0071567D" w:rsidRDefault="002E43F0">
            <w:pPr>
              <w:pBdr>
                <w:top w:val="nil"/>
                <w:left w:val="nil"/>
                <w:bottom w:val="nil"/>
                <w:right w:val="nil"/>
                <w:between w:val="nil"/>
              </w:pBdr>
              <w:tabs>
                <w:tab w:val="left" w:pos="993"/>
              </w:tabs>
              <w:spacing w:line="240" w:lineRule="auto"/>
              <w:ind w:left="0" w:hanging="2"/>
              <w:jc w:val="center"/>
              <w:rPr>
                <w:rFonts w:ascii="Arial" w:eastAsia="Arial" w:hAnsi="Arial" w:cs="Arial"/>
                <w:color w:val="000000"/>
              </w:rPr>
            </w:pPr>
            <w:r w:rsidRPr="0071567D">
              <w:rPr>
                <w:rFonts w:ascii="Arial" w:eastAsia="Arial" w:hAnsi="Arial" w:cs="Arial"/>
                <w:b/>
                <w:color w:val="000000"/>
              </w:rPr>
              <w:t>Situação</w:t>
            </w:r>
          </w:p>
        </w:tc>
        <w:tc>
          <w:tcPr>
            <w:tcW w:w="9703" w:type="dxa"/>
            <w:vMerge/>
            <w:shd w:val="clear" w:color="auto" w:fill="A8D08D"/>
            <w:vAlign w:val="center"/>
          </w:tcPr>
          <w:p w14:paraId="0CAA9BE9" w14:textId="77777777" w:rsidR="00B44014" w:rsidRPr="0071567D" w:rsidRDefault="00B44014">
            <w:pPr>
              <w:widowControl w:val="0"/>
              <w:pBdr>
                <w:top w:val="nil"/>
                <w:left w:val="nil"/>
                <w:bottom w:val="nil"/>
                <w:right w:val="nil"/>
                <w:between w:val="nil"/>
              </w:pBdr>
              <w:spacing w:line="276" w:lineRule="auto"/>
              <w:ind w:left="0" w:hanging="2"/>
              <w:rPr>
                <w:rFonts w:ascii="Arial" w:eastAsia="Arial" w:hAnsi="Arial" w:cs="Arial"/>
                <w:color w:val="000000"/>
              </w:rPr>
            </w:pPr>
          </w:p>
        </w:tc>
      </w:tr>
      <w:tr w:rsidR="000F6910" w:rsidRPr="0071567D" w14:paraId="6F0CAE91" w14:textId="77777777" w:rsidTr="00D40D93">
        <w:tc>
          <w:tcPr>
            <w:tcW w:w="1395" w:type="dxa"/>
            <w:vMerge w:val="restart"/>
            <w:shd w:val="clear" w:color="auto" w:fill="C5E0B3"/>
            <w:vAlign w:val="center"/>
          </w:tcPr>
          <w:p w14:paraId="1B762A6E" w14:textId="77777777" w:rsidR="000F6910" w:rsidRPr="0071567D" w:rsidRDefault="000F6910" w:rsidP="00D40D93">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b/>
                <w:color w:val="000000"/>
              </w:rPr>
              <w:t>Ponto 3.1</w:t>
            </w:r>
          </w:p>
        </w:tc>
        <w:tc>
          <w:tcPr>
            <w:tcW w:w="7379" w:type="dxa"/>
            <w:tcBorders>
              <w:bottom w:val="single" w:sz="6" w:space="0" w:color="000000"/>
            </w:tcBorders>
            <w:shd w:val="clear" w:color="auto" w:fill="C5E0B3"/>
            <w:vAlign w:val="center"/>
          </w:tcPr>
          <w:p w14:paraId="6AA4FAED" w14:textId="77777777"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color w:val="000000"/>
              </w:rPr>
            </w:pPr>
            <w:r w:rsidRPr="0071567D">
              <w:rPr>
                <w:rFonts w:ascii="Arial" w:eastAsia="Arial" w:hAnsi="Arial" w:cs="Arial"/>
                <w:b/>
                <w:color w:val="000000"/>
              </w:rPr>
              <w:t>Recomendação 3.1.8.1. Ao Conselho Diretor:</w:t>
            </w:r>
          </w:p>
          <w:p w14:paraId="7148F001" w14:textId="064BAF46" w:rsidR="000F6910" w:rsidRPr="000F6910" w:rsidRDefault="000F6910" w:rsidP="000F6910">
            <w:pPr>
              <w:pBdr>
                <w:top w:val="nil"/>
                <w:left w:val="nil"/>
                <w:bottom w:val="nil"/>
                <w:right w:val="nil"/>
                <w:between w:val="nil"/>
              </w:pBdr>
              <w:shd w:val="clear" w:color="auto" w:fill="C5E0B3"/>
              <w:spacing w:line="240" w:lineRule="auto"/>
              <w:ind w:leftChars="0" w:left="0" w:firstLineChars="0" w:hanging="2"/>
              <w:jc w:val="both"/>
              <w:rPr>
                <w:rFonts w:eastAsia="Arial" w:cs="Arial"/>
                <w:color w:val="000000"/>
              </w:rPr>
            </w:pPr>
            <w:r w:rsidRPr="00AC5FBD">
              <w:rPr>
                <w:rFonts w:ascii="Arial" w:hAnsi="Arial" w:cs="Arial"/>
                <w:color w:val="000000"/>
              </w:rPr>
              <w:t xml:space="preserve">a) </w:t>
            </w:r>
            <w:r w:rsidRPr="00AC5FBD">
              <w:rPr>
                <w:rFonts w:ascii="Arial" w:eastAsia="Arial" w:hAnsi="Arial" w:cs="Arial"/>
                <w:color w:val="000000"/>
              </w:rPr>
              <w:t xml:space="preserve">Fundamentar suas </w:t>
            </w:r>
            <w:r w:rsidRPr="0071600C">
              <w:rPr>
                <w:rFonts w:ascii="Arial" w:hAnsi="Arial" w:cs="Arial"/>
                <w:color w:val="000000"/>
              </w:rPr>
              <w:t>decisões</w:t>
            </w:r>
            <w:r w:rsidRPr="00AC5FBD">
              <w:rPr>
                <w:rFonts w:ascii="Arial" w:eastAsia="Arial" w:hAnsi="Arial" w:cs="Arial"/>
                <w:color w:val="000000"/>
              </w:rPr>
              <w:t xml:space="preserve"> quando envolverem posicionamento divergente dos pareceres técnicos da Perícia do Pró-Saúde ou do Departamento Médico, dando publicidade aos atos</w:t>
            </w:r>
            <w:r>
              <w:rPr>
                <w:rFonts w:ascii="Arial" w:eastAsia="Arial" w:hAnsi="Arial" w:cs="Arial"/>
                <w:color w:val="000000"/>
              </w:rPr>
              <w:t>.</w:t>
            </w:r>
          </w:p>
        </w:tc>
        <w:tc>
          <w:tcPr>
            <w:tcW w:w="517" w:type="dxa"/>
            <w:tcBorders>
              <w:bottom w:val="single" w:sz="6" w:space="0" w:color="000000"/>
            </w:tcBorders>
            <w:shd w:val="clear" w:color="auto" w:fill="C5E0B3"/>
            <w:vAlign w:val="center"/>
          </w:tcPr>
          <w:p w14:paraId="162C5705" w14:textId="5469BED4" w:rsidR="000F6910" w:rsidRPr="0071567D" w:rsidRDefault="000F6910">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4</w:t>
            </w:r>
          </w:p>
        </w:tc>
        <w:tc>
          <w:tcPr>
            <w:tcW w:w="1215" w:type="dxa"/>
            <w:tcBorders>
              <w:bottom w:val="single" w:sz="6" w:space="0" w:color="000000"/>
            </w:tcBorders>
            <w:shd w:val="clear" w:color="auto" w:fill="C5E0B3"/>
            <w:vAlign w:val="center"/>
          </w:tcPr>
          <w:p w14:paraId="3E1309A6" w14:textId="330F43A6" w:rsidR="000F6910" w:rsidRPr="0071567D" w:rsidRDefault="000F6910">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8/4/2023</w:t>
            </w:r>
          </w:p>
        </w:tc>
        <w:tc>
          <w:tcPr>
            <w:tcW w:w="1181" w:type="dxa"/>
            <w:tcBorders>
              <w:bottom w:val="single" w:sz="6" w:space="0" w:color="000000"/>
            </w:tcBorders>
            <w:shd w:val="clear" w:color="auto" w:fill="C5E0B3"/>
            <w:vAlign w:val="center"/>
          </w:tcPr>
          <w:p w14:paraId="7B65ECEF" w14:textId="663512FF" w:rsidR="000F6910" w:rsidRPr="0071567D" w:rsidRDefault="000F6910">
            <w:pPr>
              <w:pBdr>
                <w:top w:val="nil"/>
                <w:left w:val="nil"/>
                <w:bottom w:val="nil"/>
                <w:right w:val="nil"/>
                <w:between w:val="nil"/>
              </w:pBdr>
              <w:tabs>
                <w:tab w:val="left" w:pos="993"/>
              </w:tabs>
              <w:spacing w:line="240" w:lineRule="auto"/>
              <w:ind w:left="0" w:hanging="2"/>
              <w:jc w:val="center"/>
              <w:rPr>
                <w:rFonts w:ascii="Arial" w:eastAsia="Arial" w:hAnsi="Arial" w:cs="Arial"/>
                <w:color w:val="000000"/>
              </w:rPr>
            </w:pPr>
            <w:r w:rsidRPr="000F6910">
              <w:rPr>
                <w:rFonts w:ascii="Arial" w:eastAsia="Arial" w:hAnsi="Arial" w:cs="Arial"/>
                <w:b/>
                <w:color w:val="000000"/>
              </w:rPr>
              <w:t>Atendida</w:t>
            </w:r>
          </w:p>
        </w:tc>
        <w:tc>
          <w:tcPr>
            <w:tcW w:w="9703" w:type="dxa"/>
            <w:vMerge w:val="restart"/>
            <w:tcBorders>
              <w:top w:val="single" w:sz="6" w:space="0" w:color="000000"/>
            </w:tcBorders>
            <w:shd w:val="clear" w:color="auto" w:fill="C5E0B3"/>
            <w:vAlign w:val="center"/>
          </w:tcPr>
          <w:p w14:paraId="103F7F8B" w14:textId="2F1B0DA1" w:rsidR="000F6910" w:rsidRPr="0071567D" w:rsidRDefault="000F6910" w:rsidP="00062122">
            <w:pPr>
              <w:pBdr>
                <w:top w:val="nil"/>
                <w:left w:val="nil"/>
                <w:bottom w:val="nil"/>
                <w:right w:val="nil"/>
                <w:between w:val="nil"/>
              </w:pBdr>
              <w:tabs>
                <w:tab w:val="left" w:pos="993"/>
              </w:tabs>
              <w:spacing w:line="240" w:lineRule="auto"/>
              <w:ind w:left="0" w:hanging="2"/>
              <w:jc w:val="both"/>
              <w:rPr>
                <w:rFonts w:ascii="Arial" w:eastAsia="Arial" w:hAnsi="Arial" w:cs="Arial"/>
                <w:color w:val="000000"/>
              </w:rPr>
            </w:pPr>
            <w:r w:rsidRPr="0071600C">
              <w:rPr>
                <w:rFonts w:ascii="Arial" w:hAnsi="Arial" w:cs="Arial"/>
                <w:color w:val="000000"/>
              </w:rPr>
              <w:t>A Secretaria-Executiva do Pró-Saúde respondeu que “O Conselho Diretor, também considerando as recomendações da Secretaria de Controle Interno, tem tomado suas decisões procurando alinhamento com os pareceres técnicos, assim como não tem autorizado a cobertura de procedimento cuja vedação está explicita no regulamento do Programa. Fato comprovado pela própria SECIN ao analisar as atas das reuniões de 2021 e 2022. Desta forma, entendemos estar atendida a recomendação ou, s.m.j., indicação objetiva de outra forma de cumprimento da recomendação”.</w:t>
            </w:r>
          </w:p>
        </w:tc>
      </w:tr>
      <w:tr w:rsidR="000F6910" w:rsidRPr="0071567D" w14:paraId="31C4EF33" w14:textId="77777777" w:rsidTr="00A14B2B">
        <w:tc>
          <w:tcPr>
            <w:tcW w:w="1395" w:type="dxa"/>
            <w:vMerge/>
            <w:shd w:val="clear" w:color="auto" w:fill="C5E0B3"/>
            <w:vAlign w:val="center"/>
          </w:tcPr>
          <w:p w14:paraId="72934E80" w14:textId="77777777" w:rsidR="000F6910" w:rsidRPr="0071567D" w:rsidRDefault="000F6910" w:rsidP="00D40D93">
            <w:pPr>
              <w:pBdr>
                <w:top w:val="nil"/>
                <w:left w:val="nil"/>
                <w:bottom w:val="nil"/>
                <w:right w:val="nil"/>
                <w:between w:val="nil"/>
              </w:pBdr>
              <w:spacing w:line="240" w:lineRule="auto"/>
              <w:ind w:left="0" w:hanging="2"/>
              <w:jc w:val="center"/>
              <w:rPr>
                <w:rFonts w:ascii="Arial" w:eastAsia="Arial" w:hAnsi="Arial" w:cs="Arial"/>
                <w:b/>
                <w:color w:val="000000"/>
              </w:rPr>
            </w:pPr>
          </w:p>
        </w:tc>
        <w:tc>
          <w:tcPr>
            <w:tcW w:w="7379" w:type="dxa"/>
            <w:tcBorders>
              <w:bottom w:val="single" w:sz="6" w:space="0" w:color="000000"/>
            </w:tcBorders>
            <w:shd w:val="clear" w:color="auto" w:fill="C5E0B3"/>
            <w:vAlign w:val="center"/>
          </w:tcPr>
          <w:p w14:paraId="18376AEE" w14:textId="2A13CB44" w:rsidR="000F6910" w:rsidRPr="0071567D" w:rsidRDefault="000F6910" w:rsidP="00062122">
            <w:pPr>
              <w:pBdr>
                <w:top w:val="nil"/>
                <w:left w:val="nil"/>
                <w:bottom w:val="nil"/>
                <w:right w:val="nil"/>
                <w:between w:val="nil"/>
              </w:pBdr>
              <w:spacing w:line="240" w:lineRule="auto"/>
              <w:ind w:left="0" w:hanging="2"/>
              <w:jc w:val="both"/>
              <w:rPr>
                <w:rFonts w:ascii="Arial" w:eastAsia="Arial" w:hAnsi="Arial" w:cs="Arial"/>
                <w:b/>
                <w:color w:val="000000"/>
              </w:rPr>
            </w:pPr>
            <w:r w:rsidRPr="00AC5FBD">
              <w:rPr>
                <w:rFonts w:ascii="Arial" w:hAnsi="Arial" w:cs="Arial"/>
                <w:color w:val="000000"/>
              </w:rPr>
              <w:t xml:space="preserve">b) </w:t>
            </w:r>
            <w:r>
              <w:rPr>
                <w:rFonts w:ascii="Arial" w:hAnsi="Arial" w:cs="Arial"/>
                <w:color w:val="000000"/>
              </w:rPr>
              <w:t xml:space="preserve"> </w:t>
            </w:r>
            <w:r w:rsidRPr="00AC5FBD">
              <w:rPr>
                <w:rFonts w:ascii="Arial" w:eastAsia="Arial" w:hAnsi="Arial" w:cs="Arial"/>
                <w:color w:val="000000"/>
              </w:rPr>
              <w:t>Fundamentar as suas decisões nos casos de autorização de tratamento ou reembolso referente aos itens listados no Ato da Mesa n. 75/2006, art. 23, dando publicidade aos atos.</w:t>
            </w:r>
          </w:p>
        </w:tc>
        <w:tc>
          <w:tcPr>
            <w:tcW w:w="517" w:type="dxa"/>
            <w:tcBorders>
              <w:bottom w:val="single" w:sz="6" w:space="0" w:color="000000"/>
            </w:tcBorders>
            <w:shd w:val="clear" w:color="auto" w:fill="C5E0B3"/>
            <w:vAlign w:val="center"/>
          </w:tcPr>
          <w:p w14:paraId="210DEBA1" w14:textId="77CA9DA9" w:rsidR="000F6910" w:rsidRPr="0071567D" w:rsidRDefault="000F6910">
            <w:pPr>
              <w:pBdr>
                <w:top w:val="nil"/>
                <w:left w:val="nil"/>
                <w:bottom w:val="nil"/>
                <w:right w:val="nil"/>
                <w:between w:val="nil"/>
              </w:pBdr>
              <w:spacing w:line="240" w:lineRule="auto"/>
              <w:ind w:left="0" w:hanging="2"/>
              <w:jc w:val="center"/>
              <w:rPr>
                <w:rFonts w:ascii="Arial" w:eastAsia="Arial" w:hAnsi="Arial" w:cs="Arial"/>
                <w:b/>
                <w:color w:val="000000"/>
              </w:rPr>
            </w:pPr>
            <w:r>
              <w:rPr>
                <w:rFonts w:ascii="Arial" w:eastAsia="Arial" w:hAnsi="Arial" w:cs="Arial"/>
                <w:b/>
                <w:color w:val="000000"/>
              </w:rPr>
              <w:t>4</w:t>
            </w:r>
          </w:p>
        </w:tc>
        <w:tc>
          <w:tcPr>
            <w:tcW w:w="1215" w:type="dxa"/>
            <w:tcBorders>
              <w:bottom w:val="single" w:sz="6" w:space="0" w:color="000000"/>
            </w:tcBorders>
            <w:shd w:val="clear" w:color="auto" w:fill="C5E0B3"/>
            <w:vAlign w:val="center"/>
          </w:tcPr>
          <w:p w14:paraId="2E1537B0" w14:textId="6BA2F678" w:rsidR="000F6910" w:rsidRPr="0071567D" w:rsidRDefault="000F6910">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8/4/2023</w:t>
            </w:r>
          </w:p>
        </w:tc>
        <w:tc>
          <w:tcPr>
            <w:tcW w:w="1181" w:type="dxa"/>
            <w:tcBorders>
              <w:bottom w:val="single" w:sz="6" w:space="0" w:color="000000"/>
            </w:tcBorders>
            <w:shd w:val="clear" w:color="auto" w:fill="C5E0B3"/>
            <w:vAlign w:val="center"/>
          </w:tcPr>
          <w:p w14:paraId="7F061740" w14:textId="65D63827" w:rsidR="000F6910" w:rsidRPr="0071567D" w:rsidRDefault="000F6910">
            <w:pPr>
              <w:pBdr>
                <w:top w:val="nil"/>
                <w:left w:val="nil"/>
                <w:bottom w:val="nil"/>
                <w:right w:val="nil"/>
                <w:between w:val="nil"/>
              </w:pBdr>
              <w:tabs>
                <w:tab w:val="left" w:pos="993"/>
              </w:tabs>
              <w:spacing w:line="240" w:lineRule="auto"/>
              <w:ind w:left="0" w:hanging="2"/>
              <w:jc w:val="center"/>
              <w:rPr>
                <w:rFonts w:ascii="Arial" w:eastAsia="Arial" w:hAnsi="Arial" w:cs="Arial"/>
                <w:b/>
                <w:color w:val="000000"/>
              </w:rPr>
            </w:pPr>
            <w:r>
              <w:rPr>
                <w:rFonts w:ascii="Arial" w:eastAsia="Arial" w:hAnsi="Arial" w:cs="Arial"/>
                <w:b/>
                <w:color w:val="000000"/>
              </w:rPr>
              <w:t>Atendida</w:t>
            </w:r>
          </w:p>
        </w:tc>
        <w:tc>
          <w:tcPr>
            <w:tcW w:w="9703" w:type="dxa"/>
            <w:vMerge/>
            <w:shd w:val="clear" w:color="auto" w:fill="C5E0B3"/>
            <w:vAlign w:val="center"/>
          </w:tcPr>
          <w:p w14:paraId="27B6FAEC" w14:textId="77777777" w:rsidR="000F6910" w:rsidRPr="0071567D" w:rsidRDefault="000F6910" w:rsidP="00062122">
            <w:pPr>
              <w:pBdr>
                <w:top w:val="nil"/>
                <w:left w:val="nil"/>
                <w:bottom w:val="nil"/>
                <w:right w:val="nil"/>
                <w:between w:val="nil"/>
              </w:pBdr>
              <w:tabs>
                <w:tab w:val="left" w:pos="993"/>
              </w:tabs>
              <w:spacing w:line="240" w:lineRule="auto"/>
              <w:ind w:left="0" w:hanging="2"/>
              <w:jc w:val="both"/>
              <w:rPr>
                <w:rFonts w:ascii="Arial" w:eastAsia="Arial" w:hAnsi="Arial" w:cs="Arial"/>
                <w:color w:val="000000"/>
              </w:rPr>
            </w:pPr>
          </w:p>
        </w:tc>
      </w:tr>
      <w:tr w:rsidR="000F6910" w:rsidRPr="0071567D" w14:paraId="49302B42" w14:textId="77777777" w:rsidTr="00D40D93">
        <w:tc>
          <w:tcPr>
            <w:tcW w:w="1395" w:type="dxa"/>
            <w:vMerge/>
            <w:shd w:val="clear" w:color="auto" w:fill="C5E0B3"/>
            <w:vAlign w:val="center"/>
          </w:tcPr>
          <w:p w14:paraId="62A165E6" w14:textId="77777777"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b/>
                <w:color w:val="000000"/>
              </w:rPr>
            </w:pPr>
          </w:p>
        </w:tc>
        <w:tc>
          <w:tcPr>
            <w:tcW w:w="7379" w:type="dxa"/>
            <w:tcBorders>
              <w:bottom w:val="single" w:sz="6" w:space="0" w:color="000000"/>
            </w:tcBorders>
            <w:shd w:val="clear" w:color="auto" w:fill="C5E0B3"/>
            <w:vAlign w:val="center"/>
          </w:tcPr>
          <w:p w14:paraId="2F5352F6" w14:textId="563B4ECE"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color w:val="000000"/>
              </w:rPr>
            </w:pPr>
          </w:p>
          <w:p w14:paraId="64CF1BF1" w14:textId="2AA2645C"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b/>
                <w:color w:val="000000"/>
              </w:rPr>
            </w:pPr>
            <w:r w:rsidRPr="0071600C">
              <w:rPr>
                <w:rFonts w:ascii="Arial" w:eastAsia="Arial" w:hAnsi="Arial" w:cs="Arial"/>
                <w:color w:val="000000"/>
              </w:rPr>
              <w:t>c) instituir rotina processual para dar publicidade às decisões do Conselho Diretor</w:t>
            </w:r>
          </w:p>
        </w:tc>
        <w:tc>
          <w:tcPr>
            <w:tcW w:w="517" w:type="dxa"/>
            <w:tcBorders>
              <w:bottom w:val="single" w:sz="6" w:space="0" w:color="000000"/>
            </w:tcBorders>
            <w:shd w:val="clear" w:color="auto" w:fill="C5E0B3"/>
            <w:vAlign w:val="center"/>
          </w:tcPr>
          <w:p w14:paraId="786FE243" w14:textId="32F0F1B8"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b/>
                <w:color w:val="000000"/>
              </w:rPr>
            </w:pPr>
            <w:r w:rsidRPr="0071567D">
              <w:rPr>
                <w:rFonts w:ascii="Arial" w:eastAsia="Arial" w:hAnsi="Arial" w:cs="Arial"/>
                <w:b/>
                <w:color w:val="000000"/>
              </w:rPr>
              <w:t>2</w:t>
            </w:r>
          </w:p>
        </w:tc>
        <w:tc>
          <w:tcPr>
            <w:tcW w:w="1215" w:type="dxa"/>
            <w:tcBorders>
              <w:bottom w:val="single" w:sz="6" w:space="0" w:color="000000"/>
            </w:tcBorders>
            <w:shd w:val="clear" w:color="auto" w:fill="C5E0B3"/>
            <w:vAlign w:val="center"/>
          </w:tcPr>
          <w:p w14:paraId="77480BE3" w14:textId="6075E095"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color w:val="000000"/>
              </w:rPr>
              <w:t>14/2/2022</w:t>
            </w:r>
          </w:p>
        </w:tc>
        <w:tc>
          <w:tcPr>
            <w:tcW w:w="1181" w:type="dxa"/>
            <w:tcBorders>
              <w:bottom w:val="single" w:sz="6" w:space="0" w:color="000000"/>
            </w:tcBorders>
            <w:shd w:val="clear" w:color="auto" w:fill="C5E0B3"/>
            <w:vAlign w:val="center"/>
          </w:tcPr>
          <w:p w14:paraId="21FD04DE" w14:textId="25358B92" w:rsidR="000F6910" w:rsidRPr="0071567D" w:rsidRDefault="000F6910" w:rsidP="000F6910">
            <w:pPr>
              <w:pBdr>
                <w:top w:val="nil"/>
                <w:left w:val="nil"/>
                <w:bottom w:val="nil"/>
                <w:right w:val="nil"/>
                <w:between w:val="nil"/>
              </w:pBdr>
              <w:tabs>
                <w:tab w:val="left" w:pos="993"/>
              </w:tabs>
              <w:spacing w:line="240" w:lineRule="auto"/>
              <w:ind w:left="0" w:hanging="2"/>
              <w:jc w:val="center"/>
              <w:rPr>
                <w:rFonts w:ascii="Arial" w:eastAsia="Arial" w:hAnsi="Arial" w:cs="Arial"/>
                <w:b/>
                <w:color w:val="000000"/>
              </w:rPr>
            </w:pPr>
            <w:r w:rsidRPr="0071567D">
              <w:rPr>
                <w:rFonts w:ascii="Arial" w:eastAsia="Arial" w:hAnsi="Arial" w:cs="Arial"/>
                <w:b/>
                <w:color w:val="000000"/>
              </w:rPr>
              <w:t>Atendida</w:t>
            </w:r>
          </w:p>
        </w:tc>
        <w:tc>
          <w:tcPr>
            <w:tcW w:w="9703" w:type="dxa"/>
            <w:tcBorders>
              <w:top w:val="single" w:sz="6" w:space="0" w:color="000000"/>
            </w:tcBorders>
            <w:shd w:val="clear" w:color="auto" w:fill="C5E0B3"/>
            <w:vAlign w:val="center"/>
          </w:tcPr>
          <w:p w14:paraId="02B086CD" w14:textId="123838E8" w:rsidR="000F6910" w:rsidRPr="0071567D" w:rsidRDefault="000F6910" w:rsidP="000F6910">
            <w:pPr>
              <w:pBdr>
                <w:top w:val="nil"/>
                <w:left w:val="nil"/>
                <w:bottom w:val="nil"/>
                <w:right w:val="nil"/>
                <w:between w:val="nil"/>
              </w:pBdr>
              <w:tabs>
                <w:tab w:val="left" w:pos="993"/>
              </w:tabs>
              <w:spacing w:line="240" w:lineRule="auto"/>
              <w:ind w:left="0" w:hanging="2"/>
              <w:jc w:val="both"/>
              <w:rPr>
                <w:rFonts w:ascii="Arial" w:eastAsia="Arial" w:hAnsi="Arial" w:cs="Arial"/>
                <w:color w:val="000000"/>
              </w:rPr>
            </w:pPr>
            <w:r w:rsidRPr="0071567D">
              <w:rPr>
                <w:rFonts w:ascii="Arial" w:eastAsia="Arial" w:hAnsi="Arial" w:cs="Arial"/>
                <w:color w:val="000000"/>
              </w:rPr>
              <w:t>A Seps informou (doc. 13, p. 1) que as decisões do Conselho Diretor passaram a ser publicadas na página do PróSaúde na intranet, restringindo os números dos processos de instrução e os nomes dos requerentes interessados em observância ao parecer da Advocacia da Câmara dos Deputados (AdvCD) constante do documento 4, item 2.</w:t>
            </w:r>
          </w:p>
        </w:tc>
      </w:tr>
      <w:tr w:rsidR="000F6910" w:rsidRPr="0071567D" w14:paraId="21ABBF5C" w14:textId="77777777" w:rsidTr="00D40D93">
        <w:tc>
          <w:tcPr>
            <w:tcW w:w="1395" w:type="dxa"/>
            <w:shd w:val="clear" w:color="auto" w:fill="C5E0B3"/>
            <w:vAlign w:val="center"/>
          </w:tcPr>
          <w:p w14:paraId="5491DDEC" w14:textId="77777777"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b/>
                <w:color w:val="000000"/>
              </w:rPr>
              <w:t>Ponto 3.3</w:t>
            </w:r>
          </w:p>
        </w:tc>
        <w:tc>
          <w:tcPr>
            <w:tcW w:w="7379" w:type="dxa"/>
            <w:tcBorders>
              <w:bottom w:val="single" w:sz="6" w:space="0" w:color="000000"/>
            </w:tcBorders>
            <w:shd w:val="clear" w:color="auto" w:fill="C5E0B3"/>
            <w:vAlign w:val="center"/>
          </w:tcPr>
          <w:p w14:paraId="7AFB7A47" w14:textId="77777777"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color w:val="000000"/>
              </w:rPr>
            </w:pPr>
            <w:r w:rsidRPr="0071567D">
              <w:rPr>
                <w:rFonts w:ascii="Arial" w:eastAsia="Arial" w:hAnsi="Arial" w:cs="Arial"/>
                <w:b/>
                <w:color w:val="000000"/>
              </w:rPr>
              <w:t>Recomendação 3.3.8.1. À Seps:</w:t>
            </w:r>
          </w:p>
          <w:p w14:paraId="1C8EE3F1" w14:textId="77777777"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color w:val="000000"/>
              </w:rPr>
            </w:pPr>
            <w:r w:rsidRPr="0071567D">
              <w:rPr>
                <w:rFonts w:ascii="Arial" w:eastAsia="Arial" w:hAnsi="Arial" w:cs="Arial"/>
                <w:color w:val="000000"/>
              </w:rPr>
              <w:t xml:space="preserve">a) </w:t>
            </w:r>
            <w:r w:rsidRPr="0071600C">
              <w:rPr>
                <w:rFonts w:ascii="Arial" w:eastAsia="Arial" w:hAnsi="Arial" w:cs="Arial"/>
                <w:color w:val="000000"/>
              </w:rPr>
              <w:t>implantar mecanismos de controle interno de supervisão para conferir a regularidade da instrução processual dos requerimentos de reembolso, a fim de mitigar os riscos e fornecer segurança razoável para o alcance dos objetivos do processo.</w:t>
            </w:r>
          </w:p>
        </w:tc>
        <w:tc>
          <w:tcPr>
            <w:tcW w:w="517" w:type="dxa"/>
            <w:tcBorders>
              <w:bottom w:val="single" w:sz="6" w:space="0" w:color="000000"/>
            </w:tcBorders>
            <w:shd w:val="clear" w:color="auto" w:fill="C5E0B3"/>
            <w:vAlign w:val="center"/>
          </w:tcPr>
          <w:p w14:paraId="30CB48A1" w14:textId="523AB6BC"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b/>
                <w:color w:val="000000"/>
              </w:rPr>
              <w:t>1</w:t>
            </w:r>
          </w:p>
        </w:tc>
        <w:tc>
          <w:tcPr>
            <w:tcW w:w="1215" w:type="dxa"/>
            <w:tcBorders>
              <w:bottom w:val="single" w:sz="6" w:space="0" w:color="000000"/>
            </w:tcBorders>
            <w:shd w:val="clear" w:color="auto" w:fill="C5E0B3"/>
            <w:vAlign w:val="center"/>
          </w:tcPr>
          <w:p w14:paraId="01AE052F" w14:textId="77777777"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color w:val="000000"/>
              </w:rPr>
              <w:t>7/6/2021</w:t>
            </w:r>
          </w:p>
        </w:tc>
        <w:tc>
          <w:tcPr>
            <w:tcW w:w="1181" w:type="dxa"/>
            <w:tcBorders>
              <w:bottom w:val="single" w:sz="6" w:space="0" w:color="000000"/>
            </w:tcBorders>
            <w:shd w:val="clear" w:color="auto" w:fill="C5E0B3"/>
            <w:vAlign w:val="center"/>
          </w:tcPr>
          <w:p w14:paraId="0C099480" w14:textId="77777777" w:rsidR="000F6910" w:rsidRPr="0071567D" w:rsidRDefault="000F6910" w:rsidP="000F6910">
            <w:pPr>
              <w:pBdr>
                <w:top w:val="nil"/>
                <w:left w:val="nil"/>
                <w:bottom w:val="nil"/>
                <w:right w:val="nil"/>
                <w:between w:val="nil"/>
              </w:pBdr>
              <w:tabs>
                <w:tab w:val="left" w:pos="993"/>
              </w:tabs>
              <w:spacing w:line="240" w:lineRule="auto"/>
              <w:ind w:left="0" w:hanging="2"/>
              <w:jc w:val="center"/>
              <w:rPr>
                <w:rFonts w:ascii="Arial" w:eastAsia="Arial" w:hAnsi="Arial" w:cs="Arial"/>
                <w:color w:val="000000"/>
              </w:rPr>
            </w:pPr>
            <w:r w:rsidRPr="0071567D">
              <w:rPr>
                <w:rFonts w:ascii="Arial" w:eastAsia="Arial" w:hAnsi="Arial" w:cs="Arial"/>
                <w:b/>
                <w:color w:val="000000"/>
              </w:rPr>
              <w:t>Atendida</w:t>
            </w:r>
          </w:p>
        </w:tc>
        <w:tc>
          <w:tcPr>
            <w:tcW w:w="9703" w:type="dxa"/>
            <w:tcBorders>
              <w:top w:val="single" w:sz="6" w:space="0" w:color="000000"/>
            </w:tcBorders>
            <w:shd w:val="clear" w:color="auto" w:fill="C5E0B3"/>
            <w:vAlign w:val="center"/>
          </w:tcPr>
          <w:p w14:paraId="66929D5C" w14:textId="55694992" w:rsidR="000F6910" w:rsidRPr="0071567D" w:rsidRDefault="000F6910" w:rsidP="000F6910">
            <w:pPr>
              <w:pBdr>
                <w:top w:val="nil"/>
                <w:left w:val="nil"/>
                <w:bottom w:val="nil"/>
                <w:right w:val="nil"/>
                <w:between w:val="nil"/>
              </w:pBdr>
              <w:tabs>
                <w:tab w:val="left" w:pos="993"/>
              </w:tabs>
              <w:spacing w:line="240" w:lineRule="auto"/>
              <w:ind w:left="0" w:hanging="2"/>
              <w:jc w:val="both"/>
              <w:rPr>
                <w:rFonts w:ascii="Arial" w:eastAsia="Arial" w:hAnsi="Arial" w:cs="Arial"/>
                <w:color w:val="000000"/>
              </w:rPr>
            </w:pPr>
            <w:r w:rsidRPr="0071567D">
              <w:rPr>
                <w:rFonts w:ascii="Arial" w:eastAsia="Arial" w:hAnsi="Arial" w:cs="Arial"/>
                <w:color w:val="000000"/>
              </w:rPr>
              <w:t>A Seps informou (doc.8, p.46) que o Conselho Diretor do Pró-Saúde decidiu extinguir qualquer tipo de cobertura de ressarcimento para exames que não constem no Rol de cobertura obrigatória da ANS. Informou também que em casos específicos de procedimento/exames fora das tabelas do Pró-Saúde as análises devem ser submetidas ao Conselho Diretor.</w:t>
            </w:r>
          </w:p>
        </w:tc>
      </w:tr>
      <w:tr w:rsidR="000F6910" w:rsidRPr="0071567D" w14:paraId="6BAC96E2" w14:textId="77777777" w:rsidTr="004548A5">
        <w:trPr>
          <w:cantSplit/>
          <w:trHeight w:val="1083"/>
        </w:trPr>
        <w:tc>
          <w:tcPr>
            <w:tcW w:w="1395" w:type="dxa"/>
            <w:vMerge w:val="restart"/>
            <w:shd w:val="clear" w:color="auto" w:fill="C5E0B3"/>
            <w:vAlign w:val="center"/>
          </w:tcPr>
          <w:p w14:paraId="54D8FB05" w14:textId="77777777"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b/>
                <w:color w:val="000000"/>
              </w:rPr>
              <w:t>Ponto 3.4</w:t>
            </w:r>
          </w:p>
        </w:tc>
        <w:tc>
          <w:tcPr>
            <w:tcW w:w="7379" w:type="dxa"/>
            <w:shd w:val="clear" w:color="auto" w:fill="C5E0B3"/>
            <w:vAlign w:val="center"/>
          </w:tcPr>
          <w:p w14:paraId="2322DD6A" w14:textId="77777777"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color w:val="000000"/>
              </w:rPr>
            </w:pPr>
            <w:r w:rsidRPr="0071567D">
              <w:rPr>
                <w:rFonts w:ascii="Arial" w:eastAsia="Arial" w:hAnsi="Arial" w:cs="Arial"/>
                <w:b/>
                <w:color w:val="000000"/>
              </w:rPr>
              <w:t>Recomendação 3.4.8.1. À Seps:</w:t>
            </w:r>
          </w:p>
          <w:p w14:paraId="69D0B47E" w14:textId="42A1BBBE"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color w:val="000000"/>
              </w:rPr>
            </w:pPr>
            <w:r w:rsidRPr="0071600C">
              <w:rPr>
                <w:rFonts w:ascii="Arial" w:eastAsia="Arial" w:hAnsi="Arial" w:cs="Arial"/>
                <w:color w:val="000000"/>
              </w:rPr>
              <w:t>a) estabelecer parâmetros claros e padronizados para os pareceres médicos, de forma a favorecer a tomada de decisão pelo Conselho Diretor e a uniformização do processo de trabalho.</w:t>
            </w:r>
          </w:p>
        </w:tc>
        <w:tc>
          <w:tcPr>
            <w:tcW w:w="517" w:type="dxa"/>
            <w:tcBorders>
              <w:bottom w:val="single" w:sz="6" w:space="0" w:color="000000"/>
            </w:tcBorders>
            <w:shd w:val="clear" w:color="auto" w:fill="C5E0B3"/>
            <w:vAlign w:val="center"/>
          </w:tcPr>
          <w:p w14:paraId="06A92F0D" w14:textId="4359B89E"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b/>
                <w:color w:val="000000"/>
              </w:rPr>
              <w:t>2</w:t>
            </w:r>
          </w:p>
        </w:tc>
        <w:tc>
          <w:tcPr>
            <w:tcW w:w="1215" w:type="dxa"/>
            <w:tcBorders>
              <w:bottom w:val="single" w:sz="6" w:space="0" w:color="000000"/>
            </w:tcBorders>
            <w:shd w:val="clear" w:color="auto" w:fill="C5E0B3"/>
            <w:vAlign w:val="center"/>
          </w:tcPr>
          <w:p w14:paraId="237EC111" w14:textId="77777777"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color w:val="000000"/>
              </w:rPr>
              <w:t>14/2/2022</w:t>
            </w:r>
          </w:p>
        </w:tc>
        <w:tc>
          <w:tcPr>
            <w:tcW w:w="1181" w:type="dxa"/>
            <w:tcBorders>
              <w:bottom w:val="single" w:sz="6" w:space="0" w:color="000000"/>
            </w:tcBorders>
            <w:shd w:val="clear" w:color="auto" w:fill="C5E0B3"/>
            <w:vAlign w:val="center"/>
          </w:tcPr>
          <w:p w14:paraId="50C17D9F" w14:textId="77777777" w:rsidR="000F6910" w:rsidRPr="0071567D" w:rsidRDefault="000F6910" w:rsidP="000F6910">
            <w:pPr>
              <w:pBdr>
                <w:top w:val="nil"/>
                <w:left w:val="nil"/>
                <w:bottom w:val="nil"/>
                <w:right w:val="nil"/>
                <w:between w:val="nil"/>
              </w:pBdr>
              <w:tabs>
                <w:tab w:val="left" w:pos="993"/>
              </w:tabs>
              <w:spacing w:line="240" w:lineRule="auto"/>
              <w:ind w:left="0" w:hanging="2"/>
              <w:jc w:val="center"/>
              <w:rPr>
                <w:rFonts w:ascii="Arial" w:eastAsia="Arial" w:hAnsi="Arial" w:cs="Arial"/>
                <w:color w:val="000000"/>
              </w:rPr>
            </w:pPr>
            <w:r w:rsidRPr="0071567D">
              <w:rPr>
                <w:rFonts w:ascii="Arial" w:eastAsia="Arial" w:hAnsi="Arial" w:cs="Arial"/>
                <w:b/>
                <w:color w:val="000000"/>
              </w:rPr>
              <w:t>Atendida</w:t>
            </w:r>
          </w:p>
        </w:tc>
        <w:tc>
          <w:tcPr>
            <w:tcW w:w="9703" w:type="dxa"/>
            <w:vMerge w:val="restart"/>
            <w:tcBorders>
              <w:top w:val="single" w:sz="6" w:space="0" w:color="000000"/>
            </w:tcBorders>
            <w:shd w:val="clear" w:color="auto" w:fill="C5E0B3"/>
            <w:vAlign w:val="center"/>
          </w:tcPr>
          <w:p w14:paraId="29FD0B70" w14:textId="77777777" w:rsidR="000F6910" w:rsidRPr="0071567D" w:rsidRDefault="000F6910" w:rsidP="000F6910">
            <w:pPr>
              <w:pBdr>
                <w:top w:val="nil"/>
                <w:left w:val="nil"/>
                <w:bottom w:val="nil"/>
                <w:right w:val="nil"/>
                <w:between w:val="nil"/>
              </w:pBdr>
              <w:tabs>
                <w:tab w:val="left" w:pos="993"/>
              </w:tabs>
              <w:spacing w:line="240" w:lineRule="auto"/>
              <w:ind w:left="0" w:hanging="2"/>
              <w:jc w:val="both"/>
              <w:rPr>
                <w:rFonts w:ascii="Arial" w:eastAsia="Arial" w:hAnsi="Arial" w:cs="Arial"/>
                <w:color w:val="000000"/>
              </w:rPr>
            </w:pPr>
            <w:r w:rsidRPr="0071567D">
              <w:rPr>
                <w:rFonts w:ascii="Arial" w:eastAsia="Arial" w:hAnsi="Arial" w:cs="Arial"/>
                <w:color w:val="000000"/>
              </w:rPr>
              <w:t>Em relação aos pareceres emitidos pelos médicos do Pró-Saúde para subsidiar as decisões do Conselho Diretor, a Secretaria Executiva esclareceu, no doc. 13, que, enquanto não se contratava a empresa terceirizada para prestação de serviços diversos na área de saúde suplementar, “foi construído modelo de parecer com padronização de parâmetros, assim como melhorado os registros no processo referentes aos controles de regularidade da instrução processual”</w:t>
            </w:r>
          </w:p>
        </w:tc>
      </w:tr>
      <w:tr w:rsidR="000F6910" w:rsidRPr="0071567D" w14:paraId="3CE08521" w14:textId="77777777" w:rsidTr="004548A5">
        <w:trPr>
          <w:cantSplit/>
          <w:trHeight w:val="927"/>
        </w:trPr>
        <w:tc>
          <w:tcPr>
            <w:tcW w:w="1395" w:type="dxa"/>
            <w:vMerge/>
            <w:shd w:val="clear" w:color="auto" w:fill="C5E0B3"/>
            <w:vAlign w:val="center"/>
          </w:tcPr>
          <w:p w14:paraId="57255C14" w14:textId="77777777" w:rsidR="000F6910" w:rsidRPr="0071567D" w:rsidRDefault="000F6910" w:rsidP="000F6910">
            <w:pPr>
              <w:widowControl w:val="0"/>
              <w:pBdr>
                <w:top w:val="nil"/>
                <w:left w:val="nil"/>
                <w:bottom w:val="nil"/>
                <w:right w:val="nil"/>
                <w:between w:val="nil"/>
              </w:pBdr>
              <w:spacing w:line="276" w:lineRule="auto"/>
              <w:ind w:left="0" w:hanging="2"/>
              <w:jc w:val="center"/>
              <w:rPr>
                <w:rFonts w:ascii="Arial" w:eastAsia="Arial" w:hAnsi="Arial" w:cs="Arial"/>
                <w:color w:val="000000"/>
              </w:rPr>
            </w:pPr>
          </w:p>
        </w:tc>
        <w:tc>
          <w:tcPr>
            <w:tcW w:w="7379" w:type="dxa"/>
            <w:tcBorders>
              <w:bottom w:val="single" w:sz="6" w:space="0" w:color="000000"/>
            </w:tcBorders>
            <w:shd w:val="clear" w:color="auto" w:fill="C5E0B3"/>
            <w:vAlign w:val="center"/>
          </w:tcPr>
          <w:p w14:paraId="70AE5E71" w14:textId="28438DC0"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color w:val="000000"/>
              </w:rPr>
            </w:pPr>
            <w:r w:rsidRPr="0071600C">
              <w:rPr>
                <w:rFonts w:ascii="Arial" w:eastAsia="Arial" w:hAnsi="Arial" w:cs="Arial"/>
                <w:color w:val="000000"/>
              </w:rPr>
              <w:t>b) reforçar os controles relativos à supervisão, de forma a verificar a regularidade da instrução processual.</w:t>
            </w:r>
          </w:p>
        </w:tc>
        <w:tc>
          <w:tcPr>
            <w:tcW w:w="517" w:type="dxa"/>
            <w:tcBorders>
              <w:bottom w:val="single" w:sz="6" w:space="0" w:color="000000"/>
            </w:tcBorders>
            <w:shd w:val="clear" w:color="auto" w:fill="C5E0B3"/>
            <w:vAlign w:val="center"/>
          </w:tcPr>
          <w:p w14:paraId="6C6A0883" w14:textId="4AE7CABC"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b/>
                <w:color w:val="000000"/>
              </w:rPr>
              <w:t>2</w:t>
            </w:r>
          </w:p>
        </w:tc>
        <w:tc>
          <w:tcPr>
            <w:tcW w:w="1215" w:type="dxa"/>
            <w:tcBorders>
              <w:bottom w:val="single" w:sz="6" w:space="0" w:color="000000"/>
            </w:tcBorders>
            <w:shd w:val="clear" w:color="auto" w:fill="C5E0B3"/>
            <w:vAlign w:val="center"/>
          </w:tcPr>
          <w:p w14:paraId="3AD58659" w14:textId="77777777"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color w:val="000000"/>
              </w:rPr>
              <w:t>14/2/2022</w:t>
            </w:r>
          </w:p>
        </w:tc>
        <w:tc>
          <w:tcPr>
            <w:tcW w:w="1181" w:type="dxa"/>
            <w:tcBorders>
              <w:bottom w:val="single" w:sz="6" w:space="0" w:color="000000"/>
            </w:tcBorders>
            <w:shd w:val="clear" w:color="auto" w:fill="C5E0B3"/>
            <w:vAlign w:val="center"/>
          </w:tcPr>
          <w:p w14:paraId="2C8FC872" w14:textId="77777777" w:rsidR="000F6910" w:rsidRPr="0071567D" w:rsidRDefault="000F6910" w:rsidP="000F6910">
            <w:pPr>
              <w:pBdr>
                <w:top w:val="nil"/>
                <w:left w:val="nil"/>
                <w:bottom w:val="nil"/>
                <w:right w:val="nil"/>
                <w:between w:val="nil"/>
              </w:pBdr>
              <w:tabs>
                <w:tab w:val="left" w:pos="993"/>
              </w:tabs>
              <w:spacing w:line="240" w:lineRule="auto"/>
              <w:ind w:left="0" w:hanging="2"/>
              <w:jc w:val="center"/>
              <w:rPr>
                <w:rFonts w:ascii="Arial" w:eastAsia="Arial" w:hAnsi="Arial" w:cs="Arial"/>
                <w:color w:val="000000"/>
              </w:rPr>
            </w:pPr>
            <w:r w:rsidRPr="0071567D">
              <w:rPr>
                <w:rFonts w:ascii="Arial" w:eastAsia="Arial" w:hAnsi="Arial" w:cs="Arial"/>
                <w:b/>
                <w:color w:val="000000"/>
              </w:rPr>
              <w:t>Atendida</w:t>
            </w:r>
          </w:p>
        </w:tc>
        <w:tc>
          <w:tcPr>
            <w:tcW w:w="9703" w:type="dxa"/>
            <w:vMerge/>
            <w:tcBorders>
              <w:top w:val="single" w:sz="6" w:space="0" w:color="000000"/>
            </w:tcBorders>
            <w:shd w:val="clear" w:color="auto" w:fill="C5E0B3"/>
            <w:vAlign w:val="center"/>
          </w:tcPr>
          <w:p w14:paraId="2309752A" w14:textId="77777777" w:rsidR="000F6910" w:rsidRPr="0071567D" w:rsidRDefault="000F6910" w:rsidP="000F6910">
            <w:pPr>
              <w:widowControl w:val="0"/>
              <w:pBdr>
                <w:top w:val="nil"/>
                <w:left w:val="nil"/>
                <w:bottom w:val="nil"/>
                <w:right w:val="nil"/>
                <w:between w:val="nil"/>
              </w:pBdr>
              <w:spacing w:line="276" w:lineRule="auto"/>
              <w:ind w:left="0" w:hanging="2"/>
              <w:jc w:val="both"/>
              <w:rPr>
                <w:rFonts w:ascii="Arial" w:eastAsia="Arial" w:hAnsi="Arial" w:cs="Arial"/>
                <w:color w:val="000000"/>
              </w:rPr>
            </w:pPr>
          </w:p>
        </w:tc>
      </w:tr>
      <w:tr w:rsidR="000F6910" w:rsidRPr="0071567D" w14:paraId="3DCAC263" w14:textId="77777777" w:rsidTr="004548A5">
        <w:trPr>
          <w:cantSplit/>
          <w:trHeight w:val="927"/>
        </w:trPr>
        <w:tc>
          <w:tcPr>
            <w:tcW w:w="1395" w:type="dxa"/>
            <w:vMerge/>
            <w:shd w:val="clear" w:color="auto" w:fill="C5E0B3"/>
            <w:vAlign w:val="center"/>
          </w:tcPr>
          <w:p w14:paraId="2A6D9B2D" w14:textId="77777777" w:rsidR="000F6910" w:rsidRPr="0071567D" w:rsidRDefault="000F6910" w:rsidP="000F6910">
            <w:pPr>
              <w:widowControl w:val="0"/>
              <w:pBdr>
                <w:top w:val="nil"/>
                <w:left w:val="nil"/>
                <w:bottom w:val="nil"/>
                <w:right w:val="nil"/>
                <w:between w:val="nil"/>
              </w:pBdr>
              <w:spacing w:line="276" w:lineRule="auto"/>
              <w:ind w:left="0" w:hanging="2"/>
              <w:jc w:val="center"/>
              <w:rPr>
                <w:rFonts w:ascii="Arial" w:eastAsia="Arial" w:hAnsi="Arial" w:cs="Arial"/>
                <w:color w:val="000000"/>
              </w:rPr>
            </w:pPr>
          </w:p>
        </w:tc>
        <w:tc>
          <w:tcPr>
            <w:tcW w:w="7379" w:type="dxa"/>
            <w:tcBorders>
              <w:bottom w:val="single" w:sz="6" w:space="0" w:color="000000"/>
            </w:tcBorders>
            <w:shd w:val="clear" w:color="auto" w:fill="C5E0B3"/>
            <w:vAlign w:val="center"/>
          </w:tcPr>
          <w:p w14:paraId="49E6DFEB" w14:textId="19FF183E"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b/>
                <w:color w:val="000000"/>
              </w:rPr>
            </w:pPr>
            <w:r w:rsidRPr="00AC5FBD">
              <w:rPr>
                <w:rFonts w:ascii="Arial" w:hAnsi="Arial" w:cs="Arial"/>
                <w:color w:val="000000"/>
              </w:rPr>
              <w:t xml:space="preserve">c) </w:t>
            </w:r>
            <w:r w:rsidRPr="00AC5FBD">
              <w:rPr>
                <w:rFonts w:ascii="Arial" w:eastAsia="Arial" w:hAnsi="Arial" w:cs="Arial"/>
                <w:color w:val="000000"/>
              </w:rPr>
              <w:t>Averiguar a conveniência e oportunidade de recomposição da força de trabalho de forma a que seja cumprido o que dispõe o Item 3, Anexo VII, AM 137/2014</w:t>
            </w:r>
          </w:p>
        </w:tc>
        <w:tc>
          <w:tcPr>
            <w:tcW w:w="517" w:type="dxa"/>
            <w:tcBorders>
              <w:bottom w:val="single" w:sz="6" w:space="0" w:color="000000"/>
            </w:tcBorders>
            <w:shd w:val="clear" w:color="auto" w:fill="C5E0B3"/>
            <w:vAlign w:val="center"/>
          </w:tcPr>
          <w:p w14:paraId="39291AA8" w14:textId="6A51B5EC"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b/>
                <w:color w:val="000000"/>
              </w:rPr>
            </w:pPr>
            <w:r>
              <w:rPr>
                <w:rFonts w:ascii="Arial" w:eastAsia="Arial" w:hAnsi="Arial" w:cs="Arial"/>
                <w:b/>
                <w:color w:val="000000"/>
              </w:rPr>
              <w:t>4</w:t>
            </w:r>
          </w:p>
        </w:tc>
        <w:tc>
          <w:tcPr>
            <w:tcW w:w="1215" w:type="dxa"/>
            <w:tcBorders>
              <w:bottom w:val="single" w:sz="6" w:space="0" w:color="000000"/>
            </w:tcBorders>
            <w:shd w:val="clear" w:color="auto" w:fill="C5E0B3"/>
            <w:vAlign w:val="center"/>
          </w:tcPr>
          <w:p w14:paraId="78F0622A" w14:textId="5BBD0FCD"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8/4/2023</w:t>
            </w:r>
          </w:p>
        </w:tc>
        <w:tc>
          <w:tcPr>
            <w:tcW w:w="1181" w:type="dxa"/>
            <w:tcBorders>
              <w:bottom w:val="single" w:sz="6" w:space="0" w:color="000000"/>
            </w:tcBorders>
            <w:shd w:val="clear" w:color="auto" w:fill="C5E0B3"/>
            <w:vAlign w:val="center"/>
          </w:tcPr>
          <w:p w14:paraId="38F2DBDF" w14:textId="06A30D68" w:rsidR="000F6910" w:rsidRPr="0071567D" w:rsidRDefault="000F6910" w:rsidP="000F6910">
            <w:pPr>
              <w:pBdr>
                <w:top w:val="nil"/>
                <w:left w:val="nil"/>
                <w:bottom w:val="nil"/>
                <w:right w:val="nil"/>
                <w:between w:val="nil"/>
              </w:pBdr>
              <w:tabs>
                <w:tab w:val="left" w:pos="993"/>
              </w:tabs>
              <w:spacing w:line="240" w:lineRule="auto"/>
              <w:ind w:left="0" w:hanging="2"/>
              <w:jc w:val="center"/>
              <w:rPr>
                <w:rFonts w:ascii="Arial" w:eastAsia="Arial" w:hAnsi="Arial" w:cs="Arial"/>
                <w:b/>
                <w:color w:val="000000"/>
              </w:rPr>
            </w:pPr>
            <w:r>
              <w:rPr>
                <w:rFonts w:ascii="Arial" w:eastAsia="Arial" w:hAnsi="Arial" w:cs="Arial"/>
                <w:b/>
                <w:color w:val="000000"/>
              </w:rPr>
              <w:t>Atendida</w:t>
            </w:r>
          </w:p>
        </w:tc>
        <w:tc>
          <w:tcPr>
            <w:tcW w:w="9703" w:type="dxa"/>
            <w:tcBorders>
              <w:top w:val="single" w:sz="6" w:space="0" w:color="000000"/>
            </w:tcBorders>
            <w:shd w:val="clear" w:color="auto" w:fill="C5E0B3"/>
            <w:vAlign w:val="center"/>
          </w:tcPr>
          <w:p w14:paraId="57E9C22B" w14:textId="50139520" w:rsidR="000F6910" w:rsidRPr="0071567D" w:rsidRDefault="000A7141" w:rsidP="000F6910">
            <w:pPr>
              <w:widowControl w:val="0"/>
              <w:pBdr>
                <w:top w:val="nil"/>
                <w:left w:val="nil"/>
                <w:bottom w:val="nil"/>
                <w:right w:val="nil"/>
                <w:between w:val="nil"/>
              </w:pBdr>
              <w:spacing w:line="276" w:lineRule="auto"/>
              <w:ind w:left="0" w:hanging="2"/>
              <w:jc w:val="both"/>
              <w:rPr>
                <w:rFonts w:ascii="Arial" w:eastAsia="Arial" w:hAnsi="Arial" w:cs="Arial"/>
                <w:color w:val="000000"/>
              </w:rPr>
            </w:pPr>
            <w:r>
              <w:rPr>
                <w:rFonts w:ascii="Arial" w:hAnsi="Arial" w:cs="Arial"/>
                <w:color w:val="000000"/>
              </w:rPr>
              <w:t>Esclarece a DRH que “</w:t>
            </w:r>
            <w:r w:rsidRPr="004C29C2">
              <w:rPr>
                <w:rFonts w:ascii="Arial" w:hAnsi="Arial" w:cs="Arial"/>
                <w:color w:val="000000"/>
              </w:rPr>
              <w:t>A reorganização administrativa que resultou na edição do Ato da Mesa 241/2022 realizou a fusão entre o Departamento Médico e a Secreta</w:t>
            </w:r>
            <w:r>
              <w:rPr>
                <w:rFonts w:ascii="Arial" w:hAnsi="Arial" w:cs="Arial"/>
                <w:color w:val="000000"/>
              </w:rPr>
              <w:t>ria Executiva do Pró-Saúde. Ness</w:t>
            </w:r>
            <w:r w:rsidRPr="004C29C2">
              <w:rPr>
                <w:rFonts w:ascii="Arial" w:hAnsi="Arial" w:cs="Arial"/>
                <w:color w:val="000000"/>
              </w:rPr>
              <w:t>a nova estrutura, a Secretaria Executiva cedeu seus quadros de profissionais de saúde à Coordenação de Auditoria, Perícia e Gestão da Saúde Laboral. Assim, dois médicos, quatro odontólogos, um enfermeiro e uma psicóloga foram transferidos do Pró-Saúde à COAPS</w:t>
            </w:r>
            <w:r>
              <w:rPr>
                <w:rFonts w:ascii="Arial" w:hAnsi="Arial" w:cs="Arial"/>
                <w:color w:val="000000"/>
              </w:rPr>
              <w:t xml:space="preserve">, de modo a </w:t>
            </w:r>
            <w:r w:rsidRPr="004C29C2">
              <w:rPr>
                <w:rFonts w:ascii="Arial" w:hAnsi="Arial" w:cs="Arial"/>
                <w:color w:val="000000"/>
              </w:rPr>
              <w:t>reunir em uma mesma coordenação todos os trabalhos referentes à auditoria</w:t>
            </w:r>
            <w:r>
              <w:rPr>
                <w:rFonts w:ascii="Arial" w:hAnsi="Arial" w:cs="Arial"/>
                <w:color w:val="000000"/>
              </w:rPr>
              <w:t xml:space="preserve"> e, por conseguinte, facilitar</w:t>
            </w:r>
            <w:r w:rsidRPr="004C29C2">
              <w:rPr>
                <w:rFonts w:ascii="Arial" w:hAnsi="Arial" w:cs="Arial"/>
                <w:color w:val="000000"/>
              </w:rPr>
              <w:t xml:space="preserve"> a repo</w:t>
            </w:r>
            <w:r>
              <w:rPr>
                <w:rFonts w:ascii="Arial" w:hAnsi="Arial" w:cs="Arial"/>
                <w:color w:val="000000"/>
              </w:rPr>
              <w:t xml:space="preserve">sição de servidores aposentados. </w:t>
            </w:r>
            <w:r w:rsidRPr="004C29C2">
              <w:rPr>
                <w:rFonts w:ascii="Arial" w:hAnsi="Arial" w:cs="Arial"/>
                <w:color w:val="000000"/>
              </w:rPr>
              <w:t>Além disso, avalia-se que o contrato realizado com a empresa Benner, já em vigor, equaciona os riscos então apontados no serviço de auditoria</w:t>
            </w:r>
            <w:r>
              <w:rPr>
                <w:rFonts w:ascii="Arial" w:hAnsi="Arial" w:cs="Arial"/>
                <w:color w:val="000000"/>
              </w:rPr>
              <w:t>”.</w:t>
            </w:r>
          </w:p>
        </w:tc>
      </w:tr>
      <w:tr w:rsidR="000F6910" w:rsidRPr="0071567D" w14:paraId="7B1EC97C" w14:textId="77777777" w:rsidTr="00D40D93">
        <w:tc>
          <w:tcPr>
            <w:tcW w:w="1395" w:type="dxa"/>
            <w:shd w:val="clear" w:color="auto" w:fill="C5E0B3"/>
            <w:vAlign w:val="center"/>
          </w:tcPr>
          <w:p w14:paraId="0C6017A9" w14:textId="77777777"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b/>
                <w:color w:val="000000"/>
              </w:rPr>
              <w:t>Ponto 3.5</w:t>
            </w:r>
          </w:p>
        </w:tc>
        <w:tc>
          <w:tcPr>
            <w:tcW w:w="7379" w:type="dxa"/>
            <w:tcBorders>
              <w:bottom w:val="single" w:sz="6" w:space="0" w:color="000000"/>
            </w:tcBorders>
            <w:shd w:val="clear" w:color="auto" w:fill="C5E0B3"/>
            <w:vAlign w:val="center"/>
          </w:tcPr>
          <w:p w14:paraId="5D786B9C" w14:textId="77777777"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color w:val="000000"/>
              </w:rPr>
            </w:pPr>
            <w:r w:rsidRPr="0071567D">
              <w:rPr>
                <w:rFonts w:ascii="Arial" w:eastAsia="Arial" w:hAnsi="Arial" w:cs="Arial"/>
                <w:b/>
                <w:color w:val="000000"/>
              </w:rPr>
              <w:t>Recomendação 3.5.6.1. À Seps:</w:t>
            </w:r>
          </w:p>
          <w:p w14:paraId="79BDCDBF" w14:textId="043676BF"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color w:val="000000"/>
              </w:rPr>
            </w:pPr>
            <w:r w:rsidRPr="0071600C">
              <w:rPr>
                <w:rFonts w:ascii="Arial" w:eastAsia="Arial" w:hAnsi="Arial" w:cs="Arial"/>
                <w:color w:val="000000"/>
              </w:rPr>
              <w:t>a) adequar o processo de realizar perícia documental e clínica, de modo a corroborar o parecer do médico assistente, a fim de mitigar os riscos de concessão indevida de benefícios.</w:t>
            </w:r>
          </w:p>
        </w:tc>
        <w:tc>
          <w:tcPr>
            <w:tcW w:w="517" w:type="dxa"/>
            <w:tcBorders>
              <w:bottom w:val="single" w:sz="6" w:space="0" w:color="000000"/>
            </w:tcBorders>
            <w:shd w:val="clear" w:color="auto" w:fill="C5E0B3"/>
            <w:vAlign w:val="center"/>
          </w:tcPr>
          <w:p w14:paraId="018B1765" w14:textId="3797E5E5"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b/>
                <w:color w:val="000000"/>
              </w:rPr>
              <w:t>2</w:t>
            </w:r>
          </w:p>
        </w:tc>
        <w:tc>
          <w:tcPr>
            <w:tcW w:w="1215" w:type="dxa"/>
            <w:tcBorders>
              <w:bottom w:val="single" w:sz="6" w:space="0" w:color="000000"/>
            </w:tcBorders>
            <w:shd w:val="clear" w:color="auto" w:fill="C5E0B3"/>
            <w:vAlign w:val="center"/>
          </w:tcPr>
          <w:p w14:paraId="500D2CAC" w14:textId="77777777"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color w:val="000000"/>
              </w:rPr>
              <w:t>14/2/2022</w:t>
            </w:r>
          </w:p>
        </w:tc>
        <w:tc>
          <w:tcPr>
            <w:tcW w:w="1181" w:type="dxa"/>
            <w:tcBorders>
              <w:bottom w:val="single" w:sz="6" w:space="0" w:color="000000"/>
            </w:tcBorders>
            <w:shd w:val="clear" w:color="auto" w:fill="C5E0B3"/>
            <w:vAlign w:val="center"/>
          </w:tcPr>
          <w:p w14:paraId="2477980E" w14:textId="77777777" w:rsidR="000F6910" w:rsidRPr="0071567D" w:rsidRDefault="000F6910" w:rsidP="000F6910">
            <w:pPr>
              <w:pBdr>
                <w:top w:val="nil"/>
                <w:left w:val="nil"/>
                <w:bottom w:val="nil"/>
                <w:right w:val="nil"/>
                <w:between w:val="nil"/>
              </w:pBdr>
              <w:tabs>
                <w:tab w:val="left" w:pos="993"/>
              </w:tabs>
              <w:spacing w:line="240" w:lineRule="auto"/>
              <w:ind w:left="0" w:hanging="2"/>
              <w:jc w:val="center"/>
              <w:rPr>
                <w:rFonts w:ascii="Arial" w:eastAsia="Arial" w:hAnsi="Arial" w:cs="Arial"/>
                <w:color w:val="000000"/>
              </w:rPr>
            </w:pPr>
            <w:r w:rsidRPr="0071567D">
              <w:rPr>
                <w:rFonts w:ascii="Arial" w:eastAsia="Arial" w:hAnsi="Arial" w:cs="Arial"/>
                <w:b/>
                <w:color w:val="000000"/>
              </w:rPr>
              <w:t>Atendida</w:t>
            </w:r>
          </w:p>
        </w:tc>
        <w:tc>
          <w:tcPr>
            <w:tcW w:w="9703" w:type="dxa"/>
            <w:tcBorders>
              <w:top w:val="single" w:sz="6" w:space="0" w:color="000000"/>
            </w:tcBorders>
            <w:shd w:val="clear" w:color="auto" w:fill="C5E0B3"/>
            <w:vAlign w:val="center"/>
          </w:tcPr>
          <w:p w14:paraId="1B1120AA" w14:textId="77777777" w:rsidR="000F6910" w:rsidRPr="0071567D" w:rsidRDefault="000F6910" w:rsidP="000F6910">
            <w:pPr>
              <w:pBdr>
                <w:top w:val="nil"/>
                <w:left w:val="nil"/>
                <w:bottom w:val="nil"/>
                <w:right w:val="nil"/>
                <w:between w:val="nil"/>
              </w:pBdr>
              <w:tabs>
                <w:tab w:val="left" w:pos="993"/>
              </w:tabs>
              <w:spacing w:line="240" w:lineRule="auto"/>
              <w:ind w:left="0" w:hanging="2"/>
              <w:jc w:val="both"/>
              <w:rPr>
                <w:rFonts w:ascii="Arial" w:eastAsia="Arial" w:hAnsi="Arial" w:cs="Arial"/>
                <w:color w:val="000000"/>
              </w:rPr>
            </w:pPr>
            <w:r w:rsidRPr="0071567D">
              <w:rPr>
                <w:rFonts w:ascii="Arial" w:eastAsia="Arial" w:hAnsi="Arial" w:cs="Arial"/>
                <w:color w:val="000000"/>
              </w:rPr>
              <w:t>No doc. 13, o Pró-Saúde informou que, até a efetiva contratação de empresa especializada: [...} adotou rotina no sentido de que, para instrução de processos submetidos ao crivo da perícia médica, seja exigida do requerente, quando materialmente possível, a apresentação de laudos de exames que atestem as informações constantes do relatório médico circunstanciado, como efetuado nos Edocs 663148/2021 e 632863/2021.</w:t>
            </w:r>
          </w:p>
        </w:tc>
      </w:tr>
      <w:tr w:rsidR="000F6910" w:rsidRPr="0071567D" w14:paraId="51968788" w14:textId="77777777" w:rsidTr="000A17A0">
        <w:trPr>
          <w:trHeight w:val="1688"/>
        </w:trPr>
        <w:tc>
          <w:tcPr>
            <w:tcW w:w="1395" w:type="dxa"/>
            <w:vMerge w:val="restart"/>
            <w:shd w:val="clear" w:color="auto" w:fill="C5E0B3"/>
            <w:vAlign w:val="center"/>
          </w:tcPr>
          <w:p w14:paraId="723B5390" w14:textId="16DA3C6F"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b/>
                <w:color w:val="000000"/>
              </w:rPr>
            </w:pPr>
            <w:r w:rsidRPr="0071567D">
              <w:rPr>
                <w:rFonts w:ascii="Arial" w:eastAsia="Arial" w:hAnsi="Arial" w:cs="Arial"/>
                <w:b/>
                <w:color w:val="000000"/>
              </w:rPr>
              <w:t>Ponto 3.6</w:t>
            </w:r>
          </w:p>
        </w:tc>
        <w:tc>
          <w:tcPr>
            <w:tcW w:w="7379" w:type="dxa"/>
            <w:tcBorders>
              <w:bottom w:val="single" w:sz="6" w:space="0" w:color="000000"/>
            </w:tcBorders>
            <w:shd w:val="clear" w:color="auto" w:fill="C5E0B3"/>
            <w:vAlign w:val="center"/>
          </w:tcPr>
          <w:p w14:paraId="31C241AF" w14:textId="77777777"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b/>
                <w:color w:val="000000"/>
              </w:rPr>
            </w:pPr>
            <w:r w:rsidRPr="0071567D">
              <w:rPr>
                <w:rFonts w:ascii="Arial" w:eastAsia="Arial" w:hAnsi="Arial" w:cs="Arial"/>
                <w:b/>
                <w:color w:val="000000"/>
              </w:rPr>
              <w:t xml:space="preserve">Recomendação 3.6.8.1 À Seps e à DRH: </w:t>
            </w:r>
          </w:p>
          <w:p w14:paraId="69019CF1" w14:textId="045EB271"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b/>
                <w:color w:val="000000"/>
              </w:rPr>
            </w:pPr>
            <w:r w:rsidRPr="0071567D">
              <w:rPr>
                <w:rFonts w:ascii="Arial" w:eastAsia="Arial" w:hAnsi="Arial" w:cs="Arial"/>
                <w:color w:val="000000"/>
              </w:rPr>
              <w:t>a) Definir as atribuições do Chefe da Seção de Auditagem Médica de forma a que elas não se confundam com as competências da Seção.</w:t>
            </w:r>
          </w:p>
        </w:tc>
        <w:tc>
          <w:tcPr>
            <w:tcW w:w="517" w:type="dxa"/>
            <w:tcBorders>
              <w:bottom w:val="single" w:sz="6" w:space="0" w:color="000000"/>
            </w:tcBorders>
            <w:shd w:val="clear" w:color="auto" w:fill="C5E0B3"/>
            <w:vAlign w:val="center"/>
          </w:tcPr>
          <w:p w14:paraId="7DEEBD76" w14:textId="05DCCBCC"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b/>
                <w:color w:val="000000"/>
              </w:rPr>
            </w:pPr>
            <w:r w:rsidRPr="0071567D">
              <w:rPr>
                <w:rFonts w:ascii="Arial" w:eastAsia="Arial" w:hAnsi="Arial" w:cs="Arial"/>
                <w:b/>
                <w:color w:val="000000"/>
              </w:rPr>
              <w:t>3</w:t>
            </w:r>
          </w:p>
        </w:tc>
        <w:tc>
          <w:tcPr>
            <w:tcW w:w="1215" w:type="dxa"/>
            <w:tcBorders>
              <w:bottom w:val="single" w:sz="6" w:space="0" w:color="000000"/>
            </w:tcBorders>
            <w:shd w:val="clear" w:color="auto" w:fill="C5E0B3"/>
            <w:vAlign w:val="center"/>
          </w:tcPr>
          <w:p w14:paraId="4AE757FF" w14:textId="5596AD88"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color w:val="000000"/>
              </w:rPr>
              <w:t>5/10/2022</w:t>
            </w:r>
          </w:p>
        </w:tc>
        <w:tc>
          <w:tcPr>
            <w:tcW w:w="1181" w:type="dxa"/>
            <w:tcBorders>
              <w:bottom w:val="single" w:sz="6" w:space="0" w:color="000000"/>
            </w:tcBorders>
            <w:shd w:val="clear" w:color="auto" w:fill="C5E0B3"/>
            <w:vAlign w:val="center"/>
          </w:tcPr>
          <w:p w14:paraId="28279C7E" w14:textId="02830497" w:rsidR="000F6910" w:rsidRPr="0071567D" w:rsidRDefault="000F6910" w:rsidP="000F6910">
            <w:pPr>
              <w:pBdr>
                <w:top w:val="nil"/>
                <w:left w:val="nil"/>
                <w:bottom w:val="nil"/>
                <w:right w:val="nil"/>
                <w:between w:val="nil"/>
              </w:pBdr>
              <w:tabs>
                <w:tab w:val="left" w:pos="993"/>
              </w:tabs>
              <w:spacing w:line="240" w:lineRule="auto"/>
              <w:ind w:left="0" w:hanging="2"/>
              <w:jc w:val="center"/>
              <w:rPr>
                <w:rFonts w:ascii="Arial" w:eastAsia="Arial" w:hAnsi="Arial" w:cs="Arial"/>
                <w:b/>
                <w:color w:val="000000"/>
              </w:rPr>
            </w:pPr>
            <w:r w:rsidRPr="0071567D">
              <w:rPr>
                <w:rFonts w:ascii="Arial" w:eastAsia="Arial" w:hAnsi="Arial" w:cs="Arial"/>
                <w:b/>
                <w:color w:val="000000"/>
              </w:rPr>
              <w:t>Atendida</w:t>
            </w:r>
          </w:p>
        </w:tc>
        <w:tc>
          <w:tcPr>
            <w:tcW w:w="9703" w:type="dxa"/>
            <w:tcBorders>
              <w:top w:val="single" w:sz="6" w:space="0" w:color="000000"/>
            </w:tcBorders>
            <w:shd w:val="clear" w:color="auto" w:fill="C5E0B3"/>
            <w:vAlign w:val="center"/>
          </w:tcPr>
          <w:p w14:paraId="3403580A" w14:textId="77777777" w:rsidR="000F6910" w:rsidRPr="0071567D" w:rsidRDefault="000F6910" w:rsidP="000F6910">
            <w:pPr>
              <w:spacing w:before="240" w:after="240"/>
              <w:ind w:left="0" w:hanging="2"/>
              <w:jc w:val="both"/>
              <w:rPr>
                <w:rFonts w:ascii="Arial" w:eastAsia="Arial" w:hAnsi="Arial" w:cs="Arial"/>
              </w:rPr>
            </w:pPr>
            <w:r w:rsidRPr="0071567D">
              <w:rPr>
                <w:rFonts w:ascii="Arial" w:eastAsia="Arial" w:hAnsi="Arial" w:cs="Arial"/>
              </w:rPr>
              <w:t>Com a reorganização administrativa do Pró-Saúde e do antigo Departamento Médico implementada pelo Ato da Mesa n. 241/2022, a SEPS explica que:</w:t>
            </w:r>
          </w:p>
          <w:p w14:paraId="12AB52DC" w14:textId="7F5547CD" w:rsidR="000F6910" w:rsidRPr="0071567D" w:rsidRDefault="000F6910" w:rsidP="000F6910">
            <w:pPr>
              <w:pBdr>
                <w:top w:val="nil"/>
                <w:left w:val="nil"/>
                <w:bottom w:val="nil"/>
                <w:right w:val="nil"/>
                <w:between w:val="nil"/>
              </w:pBdr>
              <w:tabs>
                <w:tab w:val="left" w:pos="993"/>
              </w:tabs>
              <w:spacing w:line="240" w:lineRule="auto"/>
              <w:ind w:left="0" w:hanging="2"/>
              <w:jc w:val="both"/>
              <w:rPr>
                <w:rFonts w:ascii="Arial" w:eastAsia="Arial" w:hAnsi="Arial" w:cs="Arial"/>
                <w:color w:val="000000"/>
              </w:rPr>
            </w:pPr>
            <w:r w:rsidRPr="0071567D">
              <w:rPr>
                <w:rFonts w:ascii="Arial" w:eastAsia="Arial" w:hAnsi="Arial" w:cs="Arial"/>
              </w:rPr>
              <w:t>Os profissionais dos setores correlacionados com a área de saúde, tais como médicos, enfermeiros, psicólogos e odontológicos foram todos deslocados para a estrutura da Coordenação de Auditoria, Perícia e Gestão da Saúde Laboral, ficando prejudicada a definição de atribuições do antigo chefe da Seção de Auditagem Médica.</w:t>
            </w:r>
          </w:p>
        </w:tc>
      </w:tr>
      <w:tr w:rsidR="000F6910" w:rsidRPr="0071567D" w14:paraId="530745D3" w14:textId="77777777" w:rsidTr="00D40D93">
        <w:tc>
          <w:tcPr>
            <w:tcW w:w="1395" w:type="dxa"/>
            <w:vMerge/>
            <w:shd w:val="clear" w:color="auto" w:fill="C5E0B3"/>
            <w:vAlign w:val="center"/>
          </w:tcPr>
          <w:p w14:paraId="15A115ED" w14:textId="77777777"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b/>
                <w:color w:val="000000"/>
              </w:rPr>
            </w:pPr>
          </w:p>
        </w:tc>
        <w:tc>
          <w:tcPr>
            <w:tcW w:w="7379" w:type="dxa"/>
            <w:tcBorders>
              <w:bottom w:val="single" w:sz="6" w:space="0" w:color="000000"/>
            </w:tcBorders>
            <w:shd w:val="clear" w:color="auto" w:fill="C5E0B3"/>
            <w:vAlign w:val="center"/>
          </w:tcPr>
          <w:p w14:paraId="18ACF0FF" w14:textId="2CD3A7B4"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b/>
                <w:color w:val="000000"/>
              </w:rPr>
            </w:pPr>
            <w:r w:rsidRPr="0071567D">
              <w:rPr>
                <w:rFonts w:ascii="Arial" w:eastAsia="Arial" w:hAnsi="Arial" w:cs="Arial"/>
                <w:b/>
                <w:color w:val="000000"/>
              </w:rPr>
              <w:t>Recomendação 3.6.8.2 À Seps:</w:t>
            </w:r>
          </w:p>
          <w:p w14:paraId="56A6DB2F" w14:textId="063FC3A9"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b/>
                <w:color w:val="000000"/>
              </w:rPr>
            </w:pPr>
            <w:r w:rsidRPr="0071567D">
              <w:rPr>
                <w:rFonts w:ascii="Arial" w:eastAsia="Arial" w:hAnsi="Arial" w:cs="Arial"/>
                <w:color w:val="000000"/>
              </w:rPr>
              <w:t>a) Reestruturar o processo de realização de perícia clínica e documental de forma a que um profissional médico seja o responsável pela emissão de parecer sobre a concessão dos benefícios inerentes à assistência domiciliar.</w:t>
            </w:r>
          </w:p>
          <w:p w14:paraId="5FD2E4DC" w14:textId="006B0AB2"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b/>
                <w:color w:val="000000"/>
              </w:rPr>
            </w:pPr>
          </w:p>
        </w:tc>
        <w:tc>
          <w:tcPr>
            <w:tcW w:w="517" w:type="dxa"/>
            <w:tcBorders>
              <w:bottom w:val="single" w:sz="6" w:space="0" w:color="000000"/>
            </w:tcBorders>
            <w:shd w:val="clear" w:color="auto" w:fill="C5E0B3"/>
            <w:vAlign w:val="center"/>
          </w:tcPr>
          <w:p w14:paraId="38A2BBDE" w14:textId="2585F5C7"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b/>
                <w:color w:val="000000"/>
              </w:rPr>
            </w:pPr>
            <w:r w:rsidRPr="0071567D">
              <w:rPr>
                <w:rFonts w:ascii="Arial" w:eastAsia="Arial" w:hAnsi="Arial" w:cs="Arial"/>
                <w:b/>
                <w:color w:val="000000"/>
              </w:rPr>
              <w:t>3</w:t>
            </w:r>
          </w:p>
        </w:tc>
        <w:tc>
          <w:tcPr>
            <w:tcW w:w="1215" w:type="dxa"/>
            <w:tcBorders>
              <w:bottom w:val="single" w:sz="6" w:space="0" w:color="000000"/>
            </w:tcBorders>
            <w:shd w:val="clear" w:color="auto" w:fill="C5E0B3"/>
            <w:vAlign w:val="center"/>
          </w:tcPr>
          <w:p w14:paraId="560DF55C" w14:textId="1F32A618"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color w:val="000000"/>
              </w:rPr>
              <w:t>5/10/2022</w:t>
            </w:r>
          </w:p>
        </w:tc>
        <w:tc>
          <w:tcPr>
            <w:tcW w:w="1181" w:type="dxa"/>
            <w:tcBorders>
              <w:bottom w:val="single" w:sz="6" w:space="0" w:color="000000"/>
            </w:tcBorders>
            <w:shd w:val="clear" w:color="auto" w:fill="C5E0B3"/>
            <w:vAlign w:val="center"/>
          </w:tcPr>
          <w:p w14:paraId="708AAFB9" w14:textId="751A9AAE" w:rsidR="000F6910" w:rsidRPr="0071567D" w:rsidRDefault="000F6910" w:rsidP="000F6910">
            <w:pPr>
              <w:pBdr>
                <w:top w:val="nil"/>
                <w:left w:val="nil"/>
                <w:bottom w:val="nil"/>
                <w:right w:val="nil"/>
                <w:between w:val="nil"/>
              </w:pBdr>
              <w:tabs>
                <w:tab w:val="left" w:pos="993"/>
              </w:tabs>
              <w:spacing w:line="240" w:lineRule="auto"/>
              <w:ind w:left="0" w:hanging="2"/>
              <w:jc w:val="center"/>
              <w:rPr>
                <w:rFonts w:ascii="Arial" w:eastAsia="Arial" w:hAnsi="Arial" w:cs="Arial"/>
                <w:b/>
                <w:color w:val="000000"/>
              </w:rPr>
            </w:pPr>
            <w:r w:rsidRPr="0071567D">
              <w:rPr>
                <w:rFonts w:ascii="Arial" w:eastAsia="Arial" w:hAnsi="Arial" w:cs="Arial"/>
                <w:b/>
                <w:color w:val="000000"/>
              </w:rPr>
              <w:t>Atendida</w:t>
            </w:r>
          </w:p>
        </w:tc>
        <w:tc>
          <w:tcPr>
            <w:tcW w:w="9703" w:type="dxa"/>
            <w:tcBorders>
              <w:top w:val="single" w:sz="6" w:space="0" w:color="000000"/>
            </w:tcBorders>
            <w:shd w:val="clear" w:color="auto" w:fill="C5E0B3"/>
            <w:vAlign w:val="center"/>
          </w:tcPr>
          <w:p w14:paraId="13843C3A" w14:textId="7F1690BB" w:rsidR="000F6910" w:rsidRPr="0071567D" w:rsidRDefault="000F6910" w:rsidP="000F6910">
            <w:pPr>
              <w:pBdr>
                <w:top w:val="nil"/>
                <w:left w:val="nil"/>
                <w:bottom w:val="nil"/>
                <w:right w:val="nil"/>
                <w:between w:val="nil"/>
              </w:pBdr>
              <w:tabs>
                <w:tab w:val="left" w:pos="993"/>
              </w:tabs>
              <w:spacing w:line="240" w:lineRule="auto"/>
              <w:ind w:left="0" w:hanging="2"/>
              <w:jc w:val="both"/>
              <w:rPr>
                <w:rFonts w:ascii="Arial" w:eastAsia="Arial" w:hAnsi="Arial" w:cs="Arial"/>
                <w:color w:val="000000"/>
              </w:rPr>
            </w:pPr>
            <w:r w:rsidRPr="0071567D">
              <w:rPr>
                <w:rFonts w:ascii="Arial" w:eastAsia="Arial" w:hAnsi="Arial" w:cs="Arial"/>
              </w:rPr>
              <w:t>Em relação a este ponto, a SEPS esclarece que, desde a expedição da recomendação pela Secin, “todos os processos referentes à concessão de benefícios inerentes à assistência domiciliar são analisados conjuntamente pelo enfermeiro e médico”</w:t>
            </w:r>
            <w:r w:rsidRPr="0071600C">
              <w:rPr>
                <w:rFonts w:ascii="Arial" w:eastAsia="Arial" w:hAnsi="Arial" w:cs="Arial"/>
              </w:rPr>
              <w:t>.</w:t>
            </w:r>
          </w:p>
        </w:tc>
      </w:tr>
      <w:tr w:rsidR="000F6910" w:rsidRPr="0071567D" w14:paraId="24F53F64" w14:textId="77777777" w:rsidTr="00D40D93">
        <w:tc>
          <w:tcPr>
            <w:tcW w:w="1395" w:type="dxa"/>
            <w:vMerge w:val="restart"/>
            <w:shd w:val="clear" w:color="auto" w:fill="C5E0B3"/>
            <w:vAlign w:val="center"/>
          </w:tcPr>
          <w:p w14:paraId="67248EEF" w14:textId="77777777"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b/>
                <w:color w:val="000000"/>
              </w:rPr>
              <w:t>Ponto 3.8</w:t>
            </w:r>
          </w:p>
        </w:tc>
        <w:tc>
          <w:tcPr>
            <w:tcW w:w="7379" w:type="dxa"/>
            <w:tcBorders>
              <w:bottom w:val="single" w:sz="6" w:space="0" w:color="000000"/>
            </w:tcBorders>
            <w:shd w:val="clear" w:color="auto" w:fill="C5E0B3"/>
            <w:vAlign w:val="center"/>
          </w:tcPr>
          <w:p w14:paraId="41186071" w14:textId="4CA571D3" w:rsidR="000F6910" w:rsidRPr="0071600C" w:rsidRDefault="000F6910" w:rsidP="000F6910">
            <w:pPr>
              <w:pBdr>
                <w:top w:val="nil"/>
                <w:left w:val="nil"/>
                <w:bottom w:val="nil"/>
                <w:right w:val="nil"/>
                <w:between w:val="nil"/>
              </w:pBdr>
              <w:tabs>
                <w:tab w:val="left" w:pos="709"/>
                <w:tab w:val="left" w:pos="993"/>
              </w:tabs>
              <w:ind w:left="0" w:hanging="2"/>
              <w:jc w:val="both"/>
              <w:rPr>
                <w:rFonts w:ascii="Arial" w:hAnsi="Arial" w:cs="Arial"/>
                <w:b/>
                <w:color w:val="000000"/>
              </w:rPr>
            </w:pPr>
            <w:r w:rsidRPr="0071567D">
              <w:rPr>
                <w:rFonts w:ascii="Arial" w:eastAsia="Arial" w:hAnsi="Arial" w:cs="Arial"/>
                <w:b/>
                <w:color w:val="000000"/>
              </w:rPr>
              <w:t xml:space="preserve">Recomendação </w:t>
            </w:r>
            <w:r w:rsidRPr="0071567D">
              <w:rPr>
                <w:rFonts w:ascii="Arial" w:hAnsi="Arial" w:cs="Arial"/>
                <w:b/>
                <w:color w:val="000000"/>
              </w:rPr>
              <w:t>3.8.8.1</w:t>
            </w:r>
            <w:r w:rsidRPr="0071567D">
              <w:rPr>
                <w:rFonts w:ascii="Arial" w:hAnsi="Arial" w:cs="Arial"/>
                <w:color w:val="000000"/>
              </w:rPr>
              <w:t>.</w:t>
            </w:r>
            <w:r w:rsidRPr="0071567D">
              <w:rPr>
                <w:rFonts w:ascii="Arial" w:hAnsi="Arial" w:cs="Arial"/>
                <w:b/>
                <w:color w:val="000000"/>
              </w:rPr>
              <w:t xml:space="preserve"> </w:t>
            </w:r>
            <w:r w:rsidRPr="0071567D">
              <w:rPr>
                <w:rFonts w:ascii="Arial" w:hAnsi="Arial" w:cs="Arial"/>
                <w:b/>
              </w:rPr>
              <w:t>Ao Serviço de Apoio Tecnológico do Pró-Saúde:</w:t>
            </w:r>
          </w:p>
          <w:p w14:paraId="41114EC7" w14:textId="50080C66" w:rsidR="000F6910" w:rsidRPr="0071600C" w:rsidRDefault="000F6910" w:rsidP="000F6910">
            <w:pPr>
              <w:pBdr>
                <w:top w:val="nil"/>
                <w:left w:val="nil"/>
                <w:bottom w:val="nil"/>
                <w:right w:val="nil"/>
                <w:between w:val="nil"/>
              </w:pBdr>
              <w:spacing w:line="240" w:lineRule="auto"/>
              <w:ind w:left="0" w:hanging="2"/>
              <w:jc w:val="both"/>
              <w:rPr>
                <w:rFonts w:ascii="Arial" w:eastAsia="Arial" w:hAnsi="Arial" w:cs="Arial"/>
                <w:color w:val="000000"/>
              </w:rPr>
            </w:pPr>
          </w:p>
          <w:p w14:paraId="008C4E74" w14:textId="5BE3E639"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color w:val="000000"/>
              </w:rPr>
            </w:pPr>
            <w:r w:rsidRPr="0071600C">
              <w:rPr>
                <w:rFonts w:ascii="Arial" w:eastAsia="Arial" w:hAnsi="Arial" w:cs="Arial"/>
                <w:color w:val="000000"/>
              </w:rPr>
              <w:t>b) elaborar monitoramento contínuo das soluções desenvolvidas ou mantidas pela unidade administrativa para que sigam as orientações da Política de Segurança da Informação da Câmara dos Deputados</w:t>
            </w:r>
          </w:p>
        </w:tc>
        <w:tc>
          <w:tcPr>
            <w:tcW w:w="517" w:type="dxa"/>
            <w:tcBorders>
              <w:bottom w:val="single" w:sz="6" w:space="0" w:color="000000"/>
            </w:tcBorders>
            <w:shd w:val="clear" w:color="auto" w:fill="C5E0B3"/>
            <w:vAlign w:val="center"/>
          </w:tcPr>
          <w:p w14:paraId="21AA73A3" w14:textId="1EC16948"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b/>
                <w:color w:val="000000"/>
              </w:rPr>
              <w:t>2</w:t>
            </w:r>
          </w:p>
        </w:tc>
        <w:tc>
          <w:tcPr>
            <w:tcW w:w="1215" w:type="dxa"/>
            <w:tcBorders>
              <w:bottom w:val="single" w:sz="6" w:space="0" w:color="000000"/>
            </w:tcBorders>
            <w:shd w:val="clear" w:color="auto" w:fill="C5E0B3"/>
            <w:vAlign w:val="center"/>
          </w:tcPr>
          <w:p w14:paraId="2322F03C" w14:textId="77777777"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color w:val="000000"/>
              </w:rPr>
              <w:t>14/2/2022</w:t>
            </w:r>
          </w:p>
        </w:tc>
        <w:tc>
          <w:tcPr>
            <w:tcW w:w="1181" w:type="dxa"/>
            <w:tcBorders>
              <w:bottom w:val="single" w:sz="6" w:space="0" w:color="000000"/>
            </w:tcBorders>
            <w:shd w:val="clear" w:color="auto" w:fill="C5E0B3"/>
            <w:vAlign w:val="center"/>
          </w:tcPr>
          <w:p w14:paraId="0E66FFBC" w14:textId="77777777" w:rsidR="000F6910" w:rsidRPr="0071567D" w:rsidRDefault="000F6910" w:rsidP="000F6910">
            <w:pPr>
              <w:pBdr>
                <w:top w:val="nil"/>
                <w:left w:val="nil"/>
                <w:bottom w:val="nil"/>
                <w:right w:val="nil"/>
                <w:between w:val="nil"/>
              </w:pBdr>
              <w:tabs>
                <w:tab w:val="left" w:pos="993"/>
              </w:tabs>
              <w:spacing w:line="240" w:lineRule="auto"/>
              <w:ind w:left="0" w:hanging="2"/>
              <w:jc w:val="center"/>
              <w:rPr>
                <w:rFonts w:ascii="Arial" w:eastAsia="Arial" w:hAnsi="Arial" w:cs="Arial"/>
                <w:color w:val="000000"/>
              </w:rPr>
            </w:pPr>
            <w:r w:rsidRPr="0071567D">
              <w:rPr>
                <w:rFonts w:ascii="Arial" w:eastAsia="Arial" w:hAnsi="Arial" w:cs="Arial"/>
                <w:b/>
                <w:color w:val="000000"/>
              </w:rPr>
              <w:t>Atendida</w:t>
            </w:r>
          </w:p>
        </w:tc>
        <w:tc>
          <w:tcPr>
            <w:tcW w:w="9703" w:type="dxa"/>
            <w:tcBorders>
              <w:top w:val="single" w:sz="6" w:space="0" w:color="000000"/>
            </w:tcBorders>
            <w:shd w:val="clear" w:color="auto" w:fill="C5E0B3"/>
            <w:vAlign w:val="center"/>
          </w:tcPr>
          <w:p w14:paraId="206D8788" w14:textId="37F89704" w:rsidR="000F6910" w:rsidRPr="0071567D" w:rsidRDefault="000F6910" w:rsidP="000F6910">
            <w:pPr>
              <w:pBdr>
                <w:top w:val="nil"/>
                <w:left w:val="nil"/>
                <w:bottom w:val="nil"/>
                <w:right w:val="nil"/>
                <w:between w:val="nil"/>
              </w:pBdr>
              <w:tabs>
                <w:tab w:val="left" w:pos="993"/>
              </w:tabs>
              <w:spacing w:line="240" w:lineRule="auto"/>
              <w:ind w:left="0" w:hanging="2"/>
              <w:jc w:val="both"/>
              <w:rPr>
                <w:rFonts w:ascii="Arial" w:eastAsia="Arial" w:hAnsi="Arial" w:cs="Arial"/>
                <w:color w:val="000000"/>
              </w:rPr>
            </w:pPr>
            <w:r w:rsidRPr="0071567D">
              <w:rPr>
                <w:rFonts w:ascii="Arial" w:eastAsia="Arial" w:hAnsi="Arial" w:cs="Arial"/>
                <w:color w:val="000000"/>
              </w:rPr>
              <w:t>Foi informado que as permissões de acesso ao sistema Pró-Saúde são concedidas somente através da solicitação dos responsáveis pelos setores onde os usuários atuam, e sempre no nível mínimo e adequado à execução das atividades individuais, sem extrapolar o acesso a informações ou funções não essenciais ou necessárias para a consecução das tarefas. Relatou-se que os responsáveis pelas áreas do Pró-Saúde são orientados a sempre informar qualquer mudança em seu quadro de servidores, para que usuários que não pertençam mais ao setor ou não estejam mais lotados no Pró-Saúde tenham suas permissões de acesso alteradas ou revogadas. Há relatórios gerados a partir das informações extraídas das tabelas do sistema, inclusive os históricos, de onde se pode verificar e analisar as atividades dos usuários.</w:t>
            </w:r>
          </w:p>
        </w:tc>
      </w:tr>
      <w:tr w:rsidR="000F6910" w:rsidRPr="0071567D" w14:paraId="38755EAA" w14:textId="77777777" w:rsidTr="00D40D93">
        <w:tc>
          <w:tcPr>
            <w:tcW w:w="1395" w:type="dxa"/>
            <w:vMerge/>
            <w:shd w:val="clear" w:color="auto" w:fill="C5E0B3"/>
            <w:vAlign w:val="center"/>
          </w:tcPr>
          <w:p w14:paraId="6F8DAC64" w14:textId="77777777"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p>
        </w:tc>
        <w:tc>
          <w:tcPr>
            <w:tcW w:w="7379" w:type="dxa"/>
            <w:tcBorders>
              <w:top w:val="single" w:sz="4" w:space="0" w:color="000000"/>
              <w:bottom w:val="single" w:sz="6" w:space="0" w:color="000000"/>
            </w:tcBorders>
            <w:shd w:val="clear" w:color="auto" w:fill="C5E0B3"/>
            <w:vAlign w:val="center"/>
          </w:tcPr>
          <w:p w14:paraId="3624DC0A" w14:textId="77777777" w:rsidR="000F6910" w:rsidRPr="0071600C" w:rsidRDefault="000F6910" w:rsidP="000F6910">
            <w:pPr>
              <w:pBdr>
                <w:top w:val="nil"/>
                <w:left w:val="nil"/>
                <w:bottom w:val="nil"/>
                <w:right w:val="nil"/>
                <w:between w:val="nil"/>
              </w:pBdr>
              <w:tabs>
                <w:tab w:val="left" w:pos="709"/>
                <w:tab w:val="left" w:pos="993"/>
              </w:tabs>
              <w:ind w:left="0" w:hanging="2"/>
              <w:jc w:val="both"/>
              <w:rPr>
                <w:rFonts w:ascii="Arial" w:hAnsi="Arial" w:cs="Arial"/>
                <w:b/>
                <w:color w:val="000000"/>
              </w:rPr>
            </w:pPr>
            <w:r w:rsidRPr="0071567D">
              <w:rPr>
                <w:rFonts w:ascii="Arial" w:eastAsia="Arial" w:hAnsi="Arial" w:cs="Arial"/>
                <w:b/>
                <w:color w:val="000000"/>
              </w:rPr>
              <w:t xml:space="preserve">Recomendação </w:t>
            </w:r>
            <w:r w:rsidRPr="0071567D">
              <w:rPr>
                <w:rFonts w:ascii="Arial" w:hAnsi="Arial" w:cs="Arial"/>
                <w:b/>
                <w:color w:val="000000"/>
              </w:rPr>
              <w:t>3.8.8.1</w:t>
            </w:r>
            <w:r w:rsidRPr="0071567D">
              <w:rPr>
                <w:rFonts w:ascii="Arial" w:hAnsi="Arial" w:cs="Arial"/>
                <w:color w:val="000000"/>
              </w:rPr>
              <w:t>.</w:t>
            </w:r>
            <w:r w:rsidRPr="0071567D">
              <w:rPr>
                <w:rFonts w:ascii="Arial" w:hAnsi="Arial" w:cs="Arial"/>
                <w:b/>
                <w:color w:val="000000"/>
              </w:rPr>
              <w:t xml:space="preserve"> </w:t>
            </w:r>
            <w:r w:rsidRPr="0071567D">
              <w:rPr>
                <w:rFonts w:ascii="Arial" w:hAnsi="Arial" w:cs="Arial"/>
                <w:b/>
              </w:rPr>
              <w:t>Ao Serviço de Apoio Tecnológico do Pró-Saúde:</w:t>
            </w:r>
          </w:p>
          <w:p w14:paraId="291B5E58" w14:textId="2B0B62FE"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color w:val="000000"/>
              </w:rPr>
            </w:pPr>
            <w:r w:rsidRPr="0071600C">
              <w:rPr>
                <w:rFonts w:ascii="Arial" w:eastAsia="Arial" w:hAnsi="Arial" w:cs="Arial"/>
                <w:color w:val="000000"/>
              </w:rPr>
              <w:t>c) implementar registros de log de auditoria dos dados que possuam maior sensibilidade e que contemplem, no mínimo: usuário, data e hora da operação, identificação da operação realizada e a identificação da origem da operação (tal como endereço IP da máquina).</w:t>
            </w:r>
          </w:p>
        </w:tc>
        <w:tc>
          <w:tcPr>
            <w:tcW w:w="517" w:type="dxa"/>
            <w:tcBorders>
              <w:top w:val="single" w:sz="4" w:space="0" w:color="000000"/>
              <w:bottom w:val="single" w:sz="6" w:space="0" w:color="000000"/>
            </w:tcBorders>
            <w:shd w:val="clear" w:color="auto" w:fill="C5E0B3"/>
            <w:vAlign w:val="center"/>
          </w:tcPr>
          <w:p w14:paraId="19FF2851" w14:textId="39847107"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b/>
                <w:color w:val="000000"/>
              </w:rPr>
              <w:t>2</w:t>
            </w:r>
          </w:p>
        </w:tc>
        <w:tc>
          <w:tcPr>
            <w:tcW w:w="1215" w:type="dxa"/>
            <w:tcBorders>
              <w:top w:val="single" w:sz="4" w:space="0" w:color="000000"/>
              <w:bottom w:val="single" w:sz="6" w:space="0" w:color="000000"/>
            </w:tcBorders>
            <w:shd w:val="clear" w:color="auto" w:fill="C5E0B3"/>
            <w:vAlign w:val="center"/>
          </w:tcPr>
          <w:p w14:paraId="6CBA76CD" w14:textId="77777777"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color w:val="000000"/>
              </w:rPr>
              <w:t>14/2/2022</w:t>
            </w:r>
          </w:p>
        </w:tc>
        <w:tc>
          <w:tcPr>
            <w:tcW w:w="1181" w:type="dxa"/>
            <w:tcBorders>
              <w:top w:val="single" w:sz="4" w:space="0" w:color="000000"/>
              <w:bottom w:val="single" w:sz="6" w:space="0" w:color="000000"/>
            </w:tcBorders>
            <w:shd w:val="clear" w:color="auto" w:fill="C5E0B3"/>
            <w:vAlign w:val="center"/>
          </w:tcPr>
          <w:p w14:paraId="486C8C56" w14:textId="77777777" w:rsidR="000F6910" w:rsidRPr="0071567D" w:rsidRDefault="000F6910" w:rsidP="000F6910">
            <w:pPr>
              <w:pBdr>
                <w:top w:val="nil"/>
                <w:left w:val="nil"/>
                <w:bottom w:val="nil"/>
                <w:right w:val="nil"/>
                <w:between w:val="nil"/>
              </w:pBdr>
              <w:tabs>
                <w:tab w:val="left" w:pos="993"/>
              </w:tabs>
              <w:spacing w:line="240" w:lineRule="auto"/>
              <w:ind w:left="0" w:hanging="2"/>
              <w:jc w:val="center"/>
              <w:rPr>
                <w:rFonts w:ascii="Arial" w:eastAsia="Arial" w:hAnsi="Arial" w:cs="Arial"/>
                <w:color w:val="000000"/>
              </w:rPr>
            </w:pPr>
            <w:r w:rsidRPr="0071567D">
              <w:rPr>
                <w:rFonts w:ascii="Arial" w:eastAsia="Arial" w:hAnsi="Arial" w:cs="Arial"/>
                <w:b/>
                <w:color w:val="000000"/>
              </w:rPr>
              <w:t>Atendida</w:t>
            </w:r>
          </w:p>
        </w:tc>
        <w:tc>
          <w:tcPr>
            <w:tcW w:w="9703" w:type="dxa"/>
            <w:tcBorders>
              <w:top w:val="single" w:sz="4" w:space="0" w:color="000000"/>
            </w:tcBorders>
            <w:shd w:val="clear" w:color="auto" w:fill="C5E0B3"/>
            <w:vAlign w:val="center"/>
          </w:tcPr>
          <w:p w14:paraId="07508E72" w14:textId="77777777" w:rsidR="000F6910" w:rsidRPr="0071567D" w:rsidRDefault="000F6910" w:rsidP="000F6910">
            <w:pPr>
              <w:pBdr>
                <w:top w:val="nil"/>
                <w:left w:val="nil"/>
                <w:bottom w:val="nil"/>
                <w:right w:val="nil"/>
                <w:between w:val="nil"/>
              </w:pBdr>
              <w:tabs>
                <w:tab w:val="left" w:pos="993"/>
              </w:tabs>
              <w:spacing w:line="240" w:lineRule="auto"/>
              <w:ind w:left="0" w:hanging="2"/>
              <w:jc w:val="both"/>
              <w:rPr>
                <w:rFonts w:ascii="Arial" w:eastAsia="Arial" w:hAnsi="Arial" w:cs="Arial"/>
                <w:color w:val="000000"/>
              </w:rPr>
            </w:pPr>
            <w:r w:rsidRPr="0071600C">
              <w:rPr>
                <w:rFonts w:ascii="Arial" w:eastAsia="Arial" w:hAnsi="Arial" w:cs="Arial"/>
                <w:color w:val="000000"/>
              </w:rPr>
              <w:t>V</w:t>
            </w:r>
            <w:r w:rsidRPr="0071567D">
              <w:rPr>
                <w:rFonts w:ascii="Arial" w:eastAsia="Arial" w:hAnsi="Arial" w:cs="Arial"/>
                <w:color w:val="000000"/>
              </w:rPr>
              <w:t>erificou-se que houve aprimoramentos no sistema com o desenvolvimento de logs para os dados sensivelmente relevantes, e que são passíveis de edições manuais (cadastro de titulares e dependentes, reembolso, carteiras, acertos e pendências). Com o registro de informações que permitem a rastreabilidade das ações, principalmente data e IP da máquina do operador, considera-se que há maior segurança nas operações que exigem esse nível de proteção. Por fim, a implementação da ferramenta IBM Guardium para as suas principais operações significa mais uma camada de segurança independente e confiável a fim de monitorar os acessos ao banco de dados do Pró-Saúde</w:t>
            </w:r>
          </w:p>
        </w:tc>
      </w:tr>
      <w:tr w:rsidR="000F6910" w:rsidRPr="0071567D" w14:paraId="64CE0A72" w14:textId="77777777" w:rsidTr="00D40D93">
        <w:tc>
          <w:tcPr>
            <w:tcW w:w="1395" w:type="dxa"/>
            <w:vMerge/>
            <w:shd w:val="clear" w:color="auto" w:fill="C5E0B3"/>
            <w:vAlign w:val="center"/>
          </w:tcPr>
          <w:p w14:paraId="17A35C70" w14:textId="77777777"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p>
        </w:tc>
        <w:tc>
          <w:tcPr>
            <w:tcW w:w="7379" w:type="dxa"/>
            <w:tcBorders>
              <w:top w:val="single" w:sz="4" w:space="0" w:color="000000"/>
              <w:bottom w:val="single" w:sz="6" w:space="0" w:color="000000"/>
            </w:tcBorders>
            <w:shd w:val="clear" w:color="auto" w:fill="C5E0B3"/>
            <w:vAlign w:val="center"/>
          </w:tcPr>
          <w:p w14:paraId="5C4FF961" w14:textId="77777777" w:rsidR="000F6910" w:rsidRPr="0071567D" w:rsidRDefault="000F6910" w:rsidP="000F6910">
            <w:pPr>
              <w:pBdr>
                <w:top w:val="nil"/>
                <w:left w:val="nil"/>
                <w:bottom w:val="nil"/>
                <w:right w:val="nil"/>
                <w:between w:val="nil"/>
              </w:pBdr>
              <w:tabs>
                <w:tab w:val="left" w:pos="709"/>
                <w:tab w:val="left" w:pos="993"/>
              </w:tabs>
              <w:ind w:left="0" w:hanging="2"/>
              <w:jc w:val="both"/>
              <w:rPr>
                <w:rFonts w:ascii="Arial" w:hAnsi="Arial" w:cs="Arial"/>
                <w:color w:val="000000"/>
              </w:rPr>
            </w:pPr>
          </w:p>
          <w:p w14:paraId="711DF340" w14:textId="4F7399F2" w:rsidR="000F6910" w:rsidRPr="0071567D" w:rsidRDefault="000F6910" w:rsidP="000F6910">
            <w:pPr>
              <w:pBdr>
                <w:top w:val="nil"/>
                <w:left w:val="nil"/>
                <w:bottom w:val="nil"/>
                <w:right w:val="nil"/>
                <w:between w:val="nil"/>
              </w:pBdr>
              <w:tabs>
                <w:tab w:val="left" w:pos="709"/>
                <w:tab w:val="left" w:pos="993"/>
              </w:tabs>
              <w:ind w:left="0" w:hanging="2"/>
              <w:jc w:val="both"/>
              <w:rPr>
                <w:rFonts w:ascii="Arial" w:eastAsia="Arial" w:hAnsi="Arial" w:cs="Arial"/>
                <w:b/>
                <w:color w:val="000000"/>
              </w:rPr>
            </w:pPr>
            <w:r w:rsidRPr="0071567D">
              <w:rPr>
                <w:rFonts w:ascii="Arial" w:hAnsi="Arial" w:cs="Arial"/>
                <w:color w:val="000000"/>
              </w:rPr>
              <w:t xml:space="preserve">a) </w:t>
            </w:r>
            <w:r w:rsidRPr="0071567D">
              <w:rPr>
                <w:rFonts w:ascii="Arial" w:eastAsia="Arial" w:hAnsi="Arial" w:cs="Arial"/>
                <w:color w:val="000000"/>
              </w:rPr>
              <w:t>Desenvolver um modelo de gerenciamento de perfis de acesso que impeça o acesso direto ao ambiente de produção com mesmo usuário e senha do Sistema de Gestão do Pró-Saúde, observada a Política de Segurança da Informação institucional.</w:t>
            </w:r>
          </w:p>
        </w:tc>
        <w:tc>
          <w:tcPr>
            <w:tcW w:w="517" w:type="dxa"/>
            <w:tcBorders>
              <w:top w:val="single" w:sz="4" w:space="0" w:color="000000"/>
              <w:bottom w:val="single" w:sz="6" w:space="0" w:color="000000"/>
            </w:tcBorders>
            <w:shd w:val="clear" w:color="auto" w:fill="C5E0B3"/>
            <w:vAlign w:val="center"/>
          </w:tcPr>
          <w:p w14:paraId="2509D1CB" w14:textId="20E5AD49"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b/>
                <w:color w:val="000000"/>
              </w:rPr>
            </w:pPr>
            <w:r w:rsidRPr="0071567D">
              <w:rPr>
                <w:rFonts w:ascii="Arial" w:eastAsia="Arial" w:hAnsi="Arial" w:cs="Arial"/>
                <w:b/>
                <w:color w:val="000000"/>
              </w:rPr>
              <w:t>3</w:t>
            </w:r>
          </w:p>
        </w:tc>
        <w:tc>
          <w:tcPr>
            <w:tcW w:w="1215" w:type="dxa"/>
            <w:tcBorders>
              <w:top w:val="single" w:sz="4" w:space="0" w:color="000000"/>
              <w:bottom w:val="single" w:sz="6" w:space="0" w:color="000000"/>
            </w:tcBorders>
            <w:shd w:val="clear" w:color="auto" w:fill="C5E0B3"/>
            <w:vAlign w:val="center"/>
          </w:tcPr>
          <w:p w14:paraId="04C20FD3" w14:textId="1240E5E2"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color w:val="000000"/>
              </w:rPr>
              <w:t>5/10/2022</w:t>
            </w:r>
          </w:p>
        </w:tc>
        <w:tc>
          <w:tcPr>
            <w:tcW w:w="1181" w:type="dxa"/>
            <w:tcBorders>
              <w:top w:val="single" w:sz="4" w:space="0" w:color="000000"/>
              <w:bottom w:val="single" w:sz="6" w:space="0" w:color="000000"/>
            </w:tcBorders>
            <w:shd w:val="clear" w:color="auto" w:fill="C5E0B3"/>
            <w:vAlign w:val="center"/>
          </w:tcPr>
          <w:p w14:paraId="23E5B22C" w14:textId="5EBFD7B5" w:rsidR="000F6910" w:rsidRPr="0071567D" w:rsidRDefault="000F6910" w:rsidP="000F6910">
            <w:pPr>
              <w:pBdr>
                <w:top w:val="nil"/>
                <w:left w:val="nil"/>
                <w:bottom w:val="nil"/>
                <w:right w:val="nil"/>
                <w:between w:val="nil"/>
              </w:pBdr>
              <w:tabs>
                <w:tab w:val="left" w:pos="993"/>
              </w:tabs>
              <w:spacing w:line="240" w:lineRule="auto"/>
              <w:ind w:left="0" w:hanging="2"/>
              <w:jc w:val="center"/>
              <w:rPr>
                <w:rFonts w:ascii="Arial" w:eastAsia="Arial" w:hAnsi="Arial" w:cs="Arial"/>
                <w:b/>
                <w:color w:val="000000"/>
              </w:rPr>
            </w:pPr>
            <w:r w:rsidRPr="0071567D">
              <w:rPr>
                <w:rFonts w:ascii="Arial" w:eastAsia="Arial" w:hAnsi="Arial" w:cs="Arial"/>
                <w:b/>
                <w:color w:val="000000"/>
              </w:rPr>
              <w:t>Atendida</w:t>
            </w:r>
          </w:p>
        </w:tc>
        <w:tc>
          <w:tcPr>
            <w:tcW w:w="9703" w:type="dxa"/>
            <w:tcBorders>
              <w:top w:val="single" w:sz="4" w:space="0" w:color="000000"/>
            </w:tcBorders>
            <w:shd w:val="clear" w:color="auto" w:fill="C5E0B3"/>
            <w:vAlign w:val="center"/>
          </w:tcPr>
          <w:p w14:paraId="0C15045D" w14:textId="77777777" w:rsidR="000F6910" w:rsidRPr="0071567D" w:rsidRDefault="000F6910" w:rsidP="000F6910">
            <w:pPr>
              <w:pBdr>
                <w:top w:val="nil"/>
                <w:left w:val="nil"/>
                <w:bottom w:val="nil"/>
                <w:right w:val="nil"/>
                <w:between w:val="nil"/>
              </w:pBdr>
              <w:spacing w:after="120" w:line="240" w:lineRule="auto"/>
              <w:ind w:left="0" w:hanging="2"/>
              <w:jc w:val="both"/>
              <w:rPr>
                <w:rFonts w:ascii="Arial" w:eastAsia="Arial" w:hAnsi="Arial" w:cs="Arial"/>
              </w:rPr>
            </w:pPr>
            <w:r w:rsidRPr="0071567D">
              <w:rPr>
                <w:rFonts w:ascii="Arial" w:eastAsia="Arial" w:hAnsi="Arial" w:cs="Arial"/>
              </w:rPr>
              <w:t>A empresa BENNER SISTEMAS S/A foi contratada</w:t>
            </w:r>
            <w:r w:rsidRPr="0071567D">
              <w:rPr>
                <w:rFonts w:ascii="Arial" w:eastAsia="Arial" w:hAnsi="Arial" w:cs="Arial"/>
                <w:vertAlign w:val="superscript"/>
              </w:rPr>
              <w:footnoteReference w:id="1"/>
            </w:r>
            <w:r w:rsidRPr="0071567D">
              <w:rPr>
                <w:rFonts w:ascii="Arial" w:eastAsia="Arial" w:hAnsi="Arial" w:cs="Arial"/>
              </w:rPr>
              <w:t xml:space="preserve"> para realizar a prestação de serviços de regulação médica e odontológica, de consultoria especializada, de auditoria médica e odontológica, de reembolso de despesas médicas e odontológicas, de gestão de rede credenciada, de central telefônica de atendimento, de perícias médicas e odontológicas e de disponibilização e hospedagem de sistema informatizado mediante contrato n. 169/2021. O sistema foi disponibilizado no ambiente de produção no dia 15/8/2022.</w:t>
            </w:r>
          </w:p>
          <w:p w14:paraId="1D551684" w14:textId="77777777" w:rsidR="000F6910" w:rsidRPr="0071567D" w:rsidRDefault="000F6910" w:rsidP="000F6910">
            <w:pPr>
              <w:pBdr>
                <w:top w:val="nil"/>
                <w:left w:val="nil"/>
                <w:bottom w:val="nil"/>
                <w:right w:val="nil"/>
                <w:between w:val="nil"/>
              </w:pBdr>
              <w:spacing w:after="120" w:line="240" w:lineRule="auto"/>
              <w:ind w:left="0" w:hanging="2"/>
              <w:jc w:val="both"/>
              <w:rPr>
                <w:rFonts w:ascii="Arial" w:eastAsia="Arial" w:hAnsi="Arial" w:cs="Arial"/>
              </w:rPr>
            </w:pPr>
            <w:r w:rsidRPr="0071567D">
              <w:rPr>
                <w:rFonts w:ascii="Arial" w:eastAsia="Arial" w:hAnsi="Arial" w:cs="Arial"/>
              </w:rPr>
              <w:t>Foi informado que o usuário com perfil de administrador pode configurar os grupos do sistema, os perfis/papéis atribuídos a cada grupo e os usuários inseridos em tais grupos.</w:t>
            </w:r>
          </w:p>
          <w:p w14:paraId="3DF11561" w14:textId="644D784E" w:rsidR="000F6910" w:rsidRPr="0071600C" w:rsidRDefault="000F6910" w:rsidP="000F6910">
            <w:pPr>
              <w:pBdr>
                <w:top w:val="nil"/>
                <w:left w:val="nil"/>
                <w:bottom w:val="nil"/>
                <w:right w:val="nil"/>
                <w:between w:val="nil"/>
              </w:pBdr>
              <w:tabs>
                <w:tab w:val="left" w:pos="993"/>
              </w:tabs>
              <w:spacing w:line="240" w:lineRule="auto"/>
              <w:ind w:left="0" w:hanging="2"/>
              <w:jc w:val="both"/>
              <w:rPr>
                <w:rFonts w:ascii="Arial" w:eastAsia="Arial" w:hAnsi="Arial" w:cs="Arial"/>
                <w:color w:val="000000"/>
              </w:rPr>
            </w:pPr>
            <w:r w:rsidRPr="0071567D">
              <w:rPr>
                <w:rFonts w:ascii="Arial" w:eastAsia="Arial" w:hAnsi="Arial" w:cs="Arial"/>
              </w:rPr>
              <w:t>Por fim, o gestor anexou as telas do referido sistema comprovando que a solução permite a autorização de perfis por grupo de usuários, registro de operações específicas, definição de papéis e vinculação de tarefas.</w:t>
            </w:r>
          </w:p>
        </w:tc>
      </w:tr>
      <w:tr w:rsidR="00565D35" w:rsidRPr="0071567D" w14:paraId="0E6DE4B9" w14:textId="77777777" w:rsidTr="00D40D93">
        <w:tc>
          <w:tcPr>
            <w:tcW w:w="1395" w:type="dxa"/>
            <w:shd w:val="clear" w:color="auto" w:fill="C5E0B3"/>
            <w:vAlign w:val="center"/>
          </w:tcPr>
          <w:p w14:paraId="1C8BDB3D" w14:textId="6396ADF4" w:rsidR="00565D35" w:rsidRPr="00565D35" w:rsidRDefault="00565D35" w:rsidP="000F6910">
            <w:pPr>
              <w:pBdr>
                <w:top w:val="nil"/>
                <w:left w:val="nil"/>
                <w:bottom w:val="nil"/>
                <w:right w:val="nil"/>
                <w:between w:val="nil"/>
              </w:pBdr>
              <w:spacing w:line="240" w:lineRule="auto"/>
              <w:ind w:left="0" w:hanging="2"/>
              <w:jc w:val="center"/>
              <w:rPr>
                <w:rFonts w:ascii="Arial" w:eastAsia="Arial" w:hAnsi="Arial" w:cs="Arial"/>
                <w:b/>
                <w:color w:val="000000"/>
              </w:rPr>
            </w:pPr>
            <w:r w:rsidRPr="00565D35">
              <w:rPr>
                <w:rFonts w:ascii="Arial" w:eastAsia="Arial" w:hAnsi="Arial" w:cs="Arial"/>
                <w:b/>
                <w:color w:val="000000"/>
              </w:rPr>
              <w:t>Ponto 3.7</w:t>
            </w:r>
          </w:p>
        </w:tc>
        <w:tc>
          <w:tcPr>
            <w:tcW w:w="7379" w:type="dxa"/>
            <w:tcBorders>
              <w:top w:val="single" w:sz="4" w:space="0" w:color="000000"/>
              <w:bottom w:val="single" w:sz="6" w:space="0" w:color="000000"/>
            </w:tcBorders>
            <w:shd w:val="clear" w:color="auto" w:fill="C5E0B3"/>
            <w:vAlign w:val="center"/>
          </w:tcPr>
          <w:p w14:paraId="334F6641" w14:textId="14FFE1E7" w:rsidR="00760262" w:rsidRDefault="00760262" w:rsidP="000F6910">
            <w:pPr>
              <w:pBdr>
                <w:top w:val="nil"/>
                <w:left w:val="nil"/>
                <w:bottom w:val="nil"/>
                <w:right w:val="nil"/>
                <w:between w:val="nil"/>
              </w:pBdr>
              <w:tabs>
                <w:tab w:val="left" w:pos="709"/>
                <w:tab w:val="left" w:pos="993"/>
              </w:tabs>
              <w:ind w:left="0" w:hanging="2"/>
              <w:jc w:val="both"/>
              <w:rPr>
                <w:rFonts w:ascii="Arial" w:hAnsi="Arial" w:cs="Arial"/>
                <w:color w:val="000000"/>
              </w:rPr>
            </w:pPr>
            <w:r w:rsidRPr="0071567D">
              <w:rPr>
                <w:rFonts w:ascii="Arial" w:eastAsia="Arial" w:hAnsi="Arial" w:cs="Arial"/>
                <w:b/>
                <w:color w:val="000000"/>
              </w:rPr>
              <w:t>Recomendação 3.</w:t>
            </w:r>
            <w:r>
              <w:rPr>
                <w:rFonts w:ascii="Arial" w:eastAsia="Arial" w:hAnsi="Arial" w:cs="Arial"/>
                <w:b/>
                <w:color w:val="000000"/>
              </w:rPr>
              <w:t>7</w:t>
            </w:r>
            <w:r w:rsidRPr="0071567D">
              <w:rPr>
                <w:rFonts w:ascii="Arial" w:eastAsia="Arial" w:hAnsi="Arial" w:cs="Arial"/>
                <w:b/>
                <w:color w:val="000000"/>
              </w:rPr>
              <w:t xml:space="preserve">.8.1. </w:t>
            </w:r>
            <w:r w:rsidR="00902BCB">
              <w:rPr>
                <w:rFonts w:ascii="Arial" w:eastAsia="Arial" w:hAnsi="Arial" w:cs="Arial"/>
                <w:b/>
                <w:color w:val="000000"/>
              </w:rPr>
              <w:t>À Seps:</w:t>
            </w:r>
          </w:p>
          <w:p w14:paraId="3C667399" w14:textId="640F201A" w:rsidR="00565D35" w:rsidRPr="0071567D" w:rsidRDefault="00760262" w:rsidP="000F6910">
            <w:pPr>
              <w:pBdr>
                <w:top w:val="nil"/>
                <w:left w:val="nil"/>
                <w:bottom w:val="nil"/>
                <w:right w:val="nil"/>
                <w:between w:val="nil"/>
              </w:pBdr>
              <w:tabs>
                <w:tab w:val="left" w:pos="709"/>
                <w:tab w:val="left" w:pos="993"/>
              </w:tabs>
              <w:ind w:left="0" w:hanging="2"/>
              <w:jc w:val="both"/>
              <w:rPr>
                <w:rFonts w:ascii="Arial" w:hAnsi="Arial" w:cs="Arial"/>
                <w:color w:val="000000"/>
              </w:rPr>
            </w:pPr>
            <w:r>
              <w:rPr>
                <w:rFonts w:ascii="Arial" w:hAnsi="Arial" w:cs="Arial"/>
                <w:color w:val="000000"/>
              </w:rPr>
              <w:t xml:space="preserve">a) </w:t>
            </w:r>
            <w:r w:rsidRPr="00AC5FBD">
              <w:rPr>
                <w:rFonts w:ascii="Arial" w:eastAsia="Arial" w:hAnsi="Arial" w:cs="Arial"/>
                <w:color w:val="000000"/>
              </w:rPr>
              <w:t>Reestruturar o processo de assistência domiciliar de forma a dar cumprimento ao disposto nos itens 3.3, 3.5 e 3.9 do AM</w:t>
            </w:r>
            <w:r>
              <w:rPr>
                <w:rFonts w:ascii="Arial" w:eastAsia="Arial" w:hAnsi="Arial" w:cs="Arial"/>
                <w:color w:val="000000"/>
              </w:rPr>
              <w:t xml:space="preserve"> n.</w:t>
            </w:r>
            <w:r w:rsidRPr="00AC5FBD">
              <w:rPr>
                <w:rFonts w:ascii="Arial" w:eastAsia="Arial" w:hAnsi="Arial" w:cs="Arial"/>
                <w:color w:val="000000"/>
              </w:rPr>
              <w:t xml:space="preserve"> 137/2014.</w:t>
            </w:r>
          </w:p>
        </w:tc>
        <w:tc>
          <w:tcPr>
            <w:tcW w:w="517" w:type="dxa"/>
            <w:tcBorders>
              <w:top w:val="single" w:sz="4" w:space="0" w:color="000000"/>
              <w:bottom w:val="single" w:sz="6" w:space="0" w:color="000000"/>
            </w:tcBorders>
            <w:shd w:val="clear" w:color="auto" w:fill="C5E0B3"/>
            <w:vAlign w:val="center"/>
          </w:tcPr>
          <w:p w14:paraId="416D9683" w14:textId="35C3B7CE" w:rsidR="00565D35" w:rsidRPr="0071567D" w:rsidRDefault="00902BCB" w:rsidP="000F6910">
            <w:pPr>
              <w:pBdr>
                <w:top w:val="nil"/>
                <w:left w:val="nil"/>
                <w:bottom w:val="nil"/>
                <w:right w:val="nil"/>
                <w:between w:val="nil"/>
              </w:pBdr>
              <w:spacing w:line="240" w:lineRule="auto"/>
              <w:ind w:left="0" w:hanging="2"/>
              <w:jc w:val="center"/>
              <w:rPr>
                <w:rFonts w:ascii="Arial" w:eastAsia="Arial" w:hAnsi="Arial" w:cs="Arial"/>
                <w:b/>
                <w:color w:val="000000"/>
              </w:rPr>
            </w:pPr>
            <w:r>
              <w:rPr>
                <w:rFonts w:ascii="Arial" w:eastAsia="Arial" w:hAnsi="Arial" w:cs="Arial"/>
                <w:b/>
                <w:color w:val="000000"/>
              </w:rPr>
              <w:t>5</w:t>
            </w:r>
          </w:p>
        </w:tc>
        <w:tc>
          <w:tcPr>
            <w:tcW w:w="1215" w:type="dxa"/>
            <w:tcBorders>
              <w:top w:val="single" w:sz="4" w:space="0" w:color="000000"/>
              <w:bottom w:val="single" w:sz="6" w:space="0" w:color="000000"/>
            </w:tcBorders>
            <w:shd w:val="clear" w:color="auto" w:fill="C5E0B3"/>
            <w:vAlign w:val="center"/>
          </w:tcPr>
          <w:p w14:paraId="243408F1" w14:textId="330F6040" w:rsidR="00565D35" w:rsidRPr="0071567D" w:rsidRDefault="00902BCB" w:rsidP="000F6910">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7/12/2023</w:t>
            </w:r>
          </w:p>
        </w:tc>
        <w:tc>
          <w:tcPr>
            <w:tcW w:w="1181" w:type="dxa"/>
            <w:tcBorders>
              <w:top w:val="single" w:sz="4" w:space="0" w:color="000000"/>
              <w:bottom w:val="single" w:sz="6" w:space="0" w:color="000000"/>
            </w:tcBorders>
            <w:shd w:val="clear" w:color="auto" w:fill="C5E0B3"/>
            <w:vAlign w:val="center"/>
          </w:tcPr>
          <w:p w14:paraId="7B47C7DC" w14:textId="40CE9805" w:rsidR="00565D35" w:rsidRPr="0071567D" w:rsidRDefault="00902BCB" w:rsidP="000F6910">
            <w:pPr>
              <w:pBdr>
                <w:top w:val="nil"/>
                <w:left w:val="nil"/>
                <w:bottom w:val="nil"/>
                <w:right w:val="nil"/>
                <w:between w:val="nil"/>
              </w:pBdr>
              <w:tabs>
                <w:tab w:val="left" w:pos="993"/>
              </w:tabs>
              <w:spacing w:line="240" w:lineRule="auto"/>
              <w:ind w:left="0" w:hanging="2"/>
              <w:jc w:val="center"/>
              <w:rPr>
                <w:rFonts w:ascii="Arial" w:eastAsia="Arial" w:hAnsi="Arial" w:cs="Arial"/>
                <w:b/>
                <w:color w:val="000000"/>
              </w:rPr>
            </w:pPr>
            <w:r>
              <w:rPr>
                <w:rFonts w:ascii="Arial" w:eastAsia="Arial" w:hAnsi="Arial" w:cs="Arial"/>
                <w:b/>
                <w:color w:val="000000"/>
              </w:rPr>
              <w:t>Atendida</w:t>
            </w:r>
          </w:p>
        </w:tc>
        <w:tc>
          <w:tcPr>
            <w:tcW w:w="9703" w:type="dxa"/>
            <w:tcBorders>
              <w:top w:val="single" w:sz="4" w:space="0" w:color="000000"/>
            </w:tcBorders>
            <w:shd w:val="clear" w:color="auto" w:fill="C5E0B3"/>
            <w:vAlign w:val="center"/>
          </w:tcPr>
          <w:p w14:paraId="24DDFF46" w14:textId="77777777" w:rsidR="00902BCB" w:rsidRDefault="00902BCB" w:rsidP="00902BCB">
            <w:pPr>
              <w:tabs>
                <w:tab w:val="left" w:pos="1567"/>
              </w:tabs>
              <w:ind w:left="0" w:hanging="2"/>
              <w:jc w:val="both"/>
              <w:textDirection w:val="lrTb"/>
              <w:rPr>
                <w:rFonts w:ascii="Arial" w:eastAsia="Arial" w:hAnsi="Arial" w:cs="Arial"/>
              </w:rPr>
            </w:pPr>
            <w:r w:rsidRPr="00D71F61">
              <w:rPr>
                <w:rFonts w:ascii="Arial" w:eastAsia="Arial" w:hAnsi="Arial" w:cs="Arial"/>
                <w:b/>
              </w:rPr>
              <w:t>Manifestação DAS, em 25/10/2023 (doc.45)</w:t>
            </w:r>
            <w:r>
              <w:rPr>
                <w:rFonts w:ascii="Arial" w:eastAsia="Arial" w:hAnsi="Arial" w:cs="Arial"/>
              </w:rPr>
              <w:t>: “(...)</w:t>
            </w:r>
            <w:r>
              <w:t xml:space="preserve"> </w:t>
            </w:r>
            <w:r w:rsidRPr="00D71F61">
              <w:rPr>
                <w:rFonts w:ascii="Arial" w:eastAsia="Arial" w:hAnsi="Arial" w:cs="Arial"/>
              </w:rPr>
              <w:t xml:space="preserve">no tocante ao processo de assistência domiciliar, cumpre esclarecer alguns pontos e informar as providências tomadas: </w:t>
            </w:r>
          </w:p>
          <w:p w14:paraId="7396D746" w14:textId="77777777" w:rsidR="00902BCB" w:rsidRDefault="00902BCB" w:rsidP="00902BCB">
            <w:pPr>
              <w:tabs>
                <w:tab w:val="left" w:pos="1567"/>
              </w:tabs>
              <w:ind w:left="0" w:hanging="2"/>
              <w:jc w:val="both"/>
              <w:textDirection w:val="lrTb"/>
              <w:rPr>
                <w:rFonts w:ascii="Arial" w:eastAsia="Arial" w:hAnsi="Arial" w:cs="Arial"/>
              </w:rPr>
            </w:pPr>
            <w:r w:rsidRPr="00D71F61">
              <w:rPr>
                <w:rFonts w:ascii="Arial" w:eastAsia="Arial" w:hAnsi="Arial" w:cs="Arial"/>
              </w:rPr>
              <w:t xml:space="preserve">1. A cobertura de serviços e procedimentos em âmbito domiciliar são avaliados e concedidos pela operadora Saúde Caixa, em todo território nacional, por meio de sua rede credenciada e suas regras próprias, não havendo, até o presente momento, credenciamentos desses serviços pela rede credenciada própria do Pró-Saúde. </w:t>
            </w:r>
          </w:p>
          <w:p w14:paraId="7CCD9721" w14:textId="77777777" w:rsidR="00902BCB" w:rsidRDefault="00902BCB" w:rsidP="00902BCB">
            <w:pPr>
              <w:tabs>
                <w:tab w:val="left" w:pos="1567"/>
              </w:tabs>
              <w:ind w:left="0" w:hanging="2"/>
              <w:jc w:val="both"/>
              <w:textDirection w:val="lrTb"/>
              <w:rPr>
                <w:rFonts w:ascii="Arial" w:eastAsia="Arial" w:hAnsi="Arial" w:cs="Arial"/>
              </w:rPr>
            </w:pPr>
            <w:r w:rsidRPr="00D71F61">
              <w:rPr>
                <w:rFonts w:ascii="Arial" w:eastAsia="Arial" w:hAnsi="Arial" w:cs="Arial"/>
              </w:rPr>
              <w:t xml:space="preserve">2. A assistência domiciliar pode ser dividida em dois tipos de serviços: os de alta complexidade (Home Care) e os de menor complexidade, tais como fisioterapia e fonoterapia, o que implica rotinas diferentes de análise para concessão e auditoria dos benefícios. </w:t>
            </w:r>
          </w:p>
          <w:p w14:paraId="762BD32F" w14:textId="77777777" w:rsidR="00902BCB" w:rsidRDefault="00902BCB" w:rsidP="00902BCB">
            <w:pPr>
              <w:tabs>
                <w:tab w:val="left" w:pos="1567"/>
              </w:tabs>
              <w:ind w:left="0" w:hanging="2"/>
              <w:jc w:val="both"/>
              <w:textDirection w:val="lrTb"/>
              <w:rPr>
                <w:rFonts w:ascii="Arial" w:eastAsia="Arial" w:hAnsi="Arial" w:cs="Arial"/>
              </w:rPr>
            </w:pPr>
            <w:r w:rsidRPr="00D71F61">
              <w:rPr>
                <w:rFonts w:ascii="Arial" w:eastAsia="Arial" w:hAnsi="Arial" w:cs="Arial"/>
              </w:rPr>
              <w:t xml:space="preserve">3. No que tange aos casos de alta complexidade, uma vez que o credenciamento é pelo Saúde Caixa, a autorização para o pedido inicial, bem como para as concessões de renovação e seguimento da assistência domiciliar são precedidas por visitas realizadas pelo Saúde Caixa. </w:t>
            </w:r>
          </w:p>
          <w:p w14:paraId="0A519835" w14:textId="77777777" w:rsidR="00902BCB" w:rsidRDefault="00902BCB" w:rsidP="00902BCB">
            <w:pPr>
              <w:tabs>
                <w:tab w:val="left" w:pos="1567"/>
              </w:tabs>
              <w:ind w:left="0" w:hanging="2"/>
              <w:jc w:val="both"/>
              <w:textDirection w:val="lrTb"/>
              <w:rPr>
                <w:rFonts w:ascii="Arial" w:eastAsia="Arial" w:hAnsi="Arial" w:cs="Arial"/>
              </w:rPr>
            </w:pPr>
            <w:r w:rsidRPr="00D71F61">
              <w:rPr>
                <w:rFonts w:ascii="Arial" w:eastAsia="Arial" w:hAnsi="Arial" w:cs="Arial"/>
              </w:rPr>
              <w:t xml:space="preserve">4. Nos casos de menor complexidade, os auditores do Saúde Caixa procedem as autorizações e auditorias via documentação (análise documental), compatíveis com as regras desse mercado na assistência suplementar. </w:t>
            </w:r>
          </w:p>
          <w:p w14:paraId="7748CC8B" w14:textId="77777777" w:rsidR="00902BCB" w:rsidRDefault="00902BCB" w:rsidP="00902BCB">
            <w:pPr>
              <w:tabs>
                <w:tab w:val="left" w:pos="1567"/>
              </w:tabs>
              <w:ind w:left="0" w:hanging="2"/>
              <w:jc w:val="both"/>
              <w:textDirection w:val="lrTb"/>
              <w:rPr>
                <w:rFonts w:ascii="Arial" w:eastAsia="Arial" w:hAnsi="Arial" w:cs="Arial"/>
              </w:rPr>
            </w:pPr>
            <w:r w:rsidRPr="00D71F61">
              <w:rPr>
                <w:rFonts w:ascii="Arial" w:eastAsia="Arial" w:hAnsi="Arial" w:cs="Arial"/>
              </w:rPr>
              <w:t xml:space="preserve">5. É de competência da Coordenação de Auditoria, Perícia e Gestão da Saúde Laboral - COAPS/DAS a avaliação dos processos que requeiram autorização para ressarcimento de despesas com assistência domiciliar. </w:t>
            </w:r>
          </w:p>
          <w:p w14:paraId="3EDBDF8A" w14:textId="77777777" w:rsidR="00902BCB" w:rsidRDefault="00902BCB" w:rsidP="00902BCB">
            <w:pPr>
              <w:tabs>
                <w:tab w:val="left" w:pos="1567"/>
              </w:tabs>
              <w:ind w:left="0" w:hanging="2"/>
              <w:jc w:val="both"/>
              <w:textDirection w:val="lrTb"/>
              <w:rPr>
                <w:rFonts w:ascii="Arial" w:eastAsia="Arial" w:hAnsi="Arial" w:cs="Arial"/>
              </w:rPr>
            </w:pPr>
            <w:r w:rsidRPr="00D71F61">
              <w:rPr>
                <w:rFonts w:ascii="Arial" w:eastAsia="Arial" w:hAnsi="Arial" w:cs="Arial"/>
              </w:rPr>
              <w:t xml:space="preserve">6. A Secretaria Executiva do Pró-Saúde tem a responsabilidade da fiscalização orçamentária e prestação de contas da assistência domiciliar. </w:t>
            </w:r>
          </w:p>
          <w:p w14:paraId="0BCB399D" w14:textId="141B9278" w:rsidR="00565D35" w:rsidRPr="0071567D" w:rsidRDefault="00902BCB" w:rsidP="00902BCB">
            <w:pPr>
              <w:pBdr>
                <w:top w:val="nil"/>
                <w:left w:val="nil"/>
                <w:bottom w:val="nil"/>
                <w:right w:val="nil"/>
                <w:between w:val="nil"/>
              </w:pBdr>
              <w:spacing w:after="120" w:line="240" w:lineRule="auto"/>
              <w:ind w:left="0" w:hanging="2"/>
              <w:jc w:val="both"/>
              <w:rPr>
                <w:rFonts w:ascii="Arial" w:eastAsia="Arial" w:hAnsi="Arial" w:cs="Arial"/>
              </w:rPr>
            </w:pPr>
            <w:r w:rsidRPr="00D71F61">
              <w:rPr>
                <w:rFonts w:ascii="Arial" w:eastAsia="Arial" w:hAnsi="Arial" w:cs="Arial"/>
              </w:rPr>
              <w:lastRenderedPageBreak/>
              <w:t>7. Uma vez que a estruturação da rede própria de atendimento do Pró</w:t>
            </w:r>
            <w:r>
              <w:rPr>
                <w:rFonts w:ascii="Arial" w:eastAsia="Arial" w:hAnsi="Arial" w:cs="Arial"/>
              </w:rPr>
              <w:t>-</w:t>
            </w:r>
            <w:r w:rsidRPr="00D71F61">
              <w:rPr>
                <w:rFonts w:ascii="Arial" w:eastAsia="Arial" w:hAnsi="Arial" w:cs="Arial"/>
              </w:rPr>
              <w:t>Saúde está sendo feita de forma gradual, à medida que se estabelecer o credenciamento próprio de assistência domiciliar, as auditorias e visitas passarão a ficar a cargo da empresa Benner, conforme atribuições contratuais (contrato 169/2021).</w:t>
            </w:r>
          </w:p>
        </w:tc>
      </w:tr>
      <w:tr w:rsidR="000F6910" w:rsidRPr="0071567D" w14:paraId="06FDA495" w14:textId="77777777" w:rsidTr="00D40D93">
        <w:tc>
          <w:tcPr>
            <w:tcW w:w="1395" w:type="dxa"/>
            <w:shd w:val="clear" w:color="auto" w:fill="C5E0B3"/>
            <w:vAlign w:val="center"/>
          </w:tcPr>
          <w:p w14:paraId="09BD82E4" w14:textId="77777777"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b/>
                <w:color w:val="000000"/>
              </w:rPr>
              <w:lastRenderedPageBreak/>
              <w:t>Ponto 3.9</w:t>
            </w:r>
          </w:p>
        </w:tc>
        <w:tc>
          <w:tcPr>
            <w:tcW w:w="7379" w:type="dxa"/>
            <w:tcBorders>
              <w:top w:val="single" w:sz="4" w:space="0" w:color="000000"/>
              <w:bottom w:val="single" w:sz="6" w:space="0" w:color="000000"/>
            </w:tcBorders>
            <w:shd w:val="clear" w:color="auto" w:fill="C5E0B3"/>
            <w:vAlign w:val="center"/>
          </w:tcPr>
          <w:p w14:paraId="46532438" w14:textId="77777777"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color w:val="000000"/>
              </w:rPr>
            </w:pPr>
            <w:r w:rsidRPr="0071567D">
              <w:rPr>
                <w:rFonts w:ascii="Arial" w:eastAsia="Arial" w:hAnsi="Arial" w:cs="Arial"/>
                <w:b/>
                <w:color w:val="000000"/>
              </w:rPr>
              <w:t xml:space="preserve">Recomendação 3.9.8.1. Ao Serviço de Apoio Tecnológico do Pró-Saúde </w:t>
            </w:r>
          </w:p>
          <w:p w14:paraId="0BF1FCBC" w14:textId="5F149BE6" w:rsidR="000F6910" w:rsidRPr="0071567D" w:rsidRDefault="000F6910" w:rsidP="000F6910">
            <w:pPr>
              <w:pBdr>
                <w:top w:val="nil"/>
                <w:left w:val="nil"/>
                <w:bottom w:val="nil"/>
                <w:right w:val="nil"/>
                <w:between w:val="nil"/>
              </w:pBdr>
              <w:tabs>
                <w:tab w:val="left" w:pos="993"/>
              </w:tabs>
              <w:spacing w:line="240" w:lineRule="auto"/>
              <w:ind w:left="0" w:hanging="2"/>
              <w:jc w:val="both"/>
              <w:rPr>
                <w:rFonts w:ascii="Arial" w:eastAsia="Arial" w:hAnsi="Arial" w:cs="Arial"/>
                <w:color w:val="000000"/>
              </w:rPr>
            </w:pPr>
            <w:r w:rsidRPr="0071600C">
              <w:rPr>
                <w:rFonts w:ascii="Arial" w:eastAsia="Arial" w:hAnsi="Arial" w:cs="Arial"/>
                <w:color w:val="000000"/>
              </w:rPr>
              <w:t>a) disponibilizar o sistema de solicitações de reembolsos de despesas médicas via extranet da Câmara dos Deputados para restituições de despesas médicas cujas comprovações sejam efetivadas mediante notas fiscais eletrônicas, observando os requisitos relativos à segurança da informação.</w:t>
            </w:r>
          </w:p>
        </w:tc>
        <w:tc>
          <w:tcPr>
            <w:tcW w:w="517" w:type="dxa"/>
            <w:tcBorders>
              <w:top w:val="single" w:sz="4" w:space="0" w:color="000000"/>
              <w:bottom w:val="single" w:sz="6" w:space="0" w:color="000000"/>
            </w:tcBorders>
            <w:shd w:val="clear" w:color="auto" w:fill="C5E0B3"/>
            <w:vAlign w:val="center"/>
          </w:tcPr>
          <w:p w14:paraId="5D79755D" w14:textId="3FACFD27" w:rsidR="000F6910" w:rsidRPr="0071567D" w:rsidRDefault="000F6910" w:rsidP="000F6910">
            <w:pPr>
              <w:pBdr>
                <w:top w:val="nil"/>
                <w:left w:val="nil"/>
                <w:bottom w:val="nil"/>
                <w:right w:val="nil"/>
                <w:between w:val="nil"/>
              </w:pBdr>
              <w:spacing w:line="240" w:lineRule="auto"/>
              <w:ind w:left="0" w:hanging="2"/>
              <w:jc w:val="center"/>
              <w:rPr>
                <w:rFonts w:ascii="Arial" w:eastAsia="Arial" w:hAnsi="Arial" w:cs="Arial"/>
                <w:color w:val="000000"/>
              </w:rPr>
            </w:pPr>
            <w:r w:rsidRPr="0071567D">
              <w:rPr>
                <w:rFonts w:ascii="Arial" w:eastAsia="Arial" w:hAnsi="Arial" w:cs="Arial"/>
                <w:b/>
                <w:color w:val="000000"/>
              </w:rPr>
              <w:t>1</w:t>
            </w:r>
          </w:p>
        </w:tc>
        <w:tc>
          <w:tcPr>
            <w:tcW w:w="1215" w:type="dxa"/>
            <w:tcBorders>
              <w:top w:val="single" w:sz="4" w:space="0" w:color="000000"/>
              <w:bottom w:val="single" w:sz="6" w:space="0" w:color="000000"/>
            </w:tcBorders>
            <w:shd w:val="clear" w:color="auto" w:fill="C5E0B3"/>
            <w:vAlign w:val="center"/>
          </w:tcPr>
          <w:p w14:paraId="17984C0D" w14:textId="77777777"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color w:val="000000"/>
              </w:rPr>
            </w:pPr>
            <w:r w:rsidRPr="0071567D">
              <w:rPr>
                <w:rFonts w:ascii="Arial" w:eastAsia="Arial" w:hAnsi="Arial" w:cs="Arial"/>
                <w:color w:val="000000"/>
              </w:rPr>
              <w:t>7/6/2021</w:t>
            </w:r>
          </w:p>
        </w:tc>
        <w:tc>
          <w:tcPr>
            <w:tcW w:w="1181" w:type="dxa"/>
            <w:tcBorders>
              <w:top w:val="single" w:sz="4" w:space="0" w:color="000000"/>
              <w:bottom w:val="single" w:sz="6" w:space="0" w:color="000000"/>
            </w:tcBorders>
            <w:shd w:val="clear" w:color="auto" w:fill="C5E0B3"/>
            <w:vAlign w:val="center"/>
          </w:tcPr>
          <w:p w14:paraId="48AA4B57" w14:textId="77777777" w:rsidR="000F6910" w:rsidRPr="0071567D" w:rsidRDefault="000F6910" w:rsidP="000F6910">
            <w:pPr>
              <w:pBdr>
                <w:top w:val="nil"/>
                <w:left w:val="nil"/>
                <w:bottom w:val="nil"/>
                <w:right w:val="nil"/>
                <w:between w:val="nil"/>
              </w:pBdr>
              <w:spacing w:line="240" w:lineRule="auto"/>
              <w:ind w:left="0" w:hanging="2"/>
              <w:jc w:val="both"/>
              <w:rPr>
                <w:rFonts w:ascii="Arial" w:eastAsia="Arial" w:hAnsi="Arial" w:cs="Arial"/>
                <w:color w:val="000000"/>
              </w:rPr>
            </w:pPr>
            <w:r w:rsidRPr="0071567D">
              <w:rPr>
                <w:rFonts w:ascii="Arial" w:eastAsia="Arial" w:hAnsi="Arial" w:cs="Arial"/>
                <w:b/>
                <w:color w:val="000000"/>
              </w:rPr>
              <w:t>Atendida</w:t>
            </w:r>
          </w:p>
        </w:tc>
        <w:tc>
          <w:tcPr>
            <w:tcW w:w="9703" w:type="dxa"/>
            <w:tcBorders>
              <w:top w:val="single" w:sz="4" w:space="0" w:color="000000"/>
            </w:tcBorders>
            <w:shd w:val="clear" w:color="auto" w:fill="C5E0B3"/>
            <w:vAlign w:val="center"/>
          </w:tcPr>
          <w:p w14:paraId="4819206C" w14:textId="77777777" w:rsidR="000F6910" w:rsidRPr="0071567D" w:rsidRDefault="000F6910" w:rsidP="000F6910">
            <w:pPr>
              <w:pBdr>
                <w:top w:val="nil"/>
                <w:left w:val="nil"/>
                <w:bottom w:val="nil"/>
                <w:right w:val="nil"/>
                <w:between w:val="nil"/>
              </w:pBdr>
              <w:tabs>
                <w:tab w:val="left" w:pos="993"/>
              </w:tabs>
              <w:spacing w:line="240" w:lineRule="auto"/>
              <w:ind w:left="0" w:hanging="2"/>
              <w:jc w:val="both"/>
              <w:rPr>
                <w:rFonts w:ascii="Arial" w:eastAsia="Arial" w:hAnsi="Arial" w:cs="Arial"/>
                <w:color w:val="000000"/>
              </w:rPr>
            </w:pPr>
            <w:r w:rsidRPr="0071567D">
              <w:rPr>
                <w:rFonts w:ascii="Arial" w:eastAsia="Arial" w:hAnsi="Arial" w:cs="Arial"/>
                <w:color w:val="000000"/>
              </w:rPr>
              <w:t>A Seps informou (doc.8, p.52) que foi publicada a Portaria 123/2020, de 12/5/2020, regulamentando a autenticação das solicitações de reembolsos médicos pelo próprio solicitante, via sistema RBL. Desta forma, foi possível estender a utilização do referido sistema para solicitação de reembolso de despesas médicas e odontológicas para parlamentares e servidores aposentados por meio da Extranet.</w:t>
            </w:r>
          </w:p>
        </w:tc>
      </w:tr>
    </w:tbl>
    <w:p w14:paraId="04FEF728" w14:textId="0B211C68" w:rsidR="00475BF7" w:rsidRDefault="00AA2E49" w:rsidP="0071600C">
      <w:pPr>
        <w:pBdr>
          <w:top w:val="nil"/>
          <w:left w:val="nil"/>
          <w:bottom w:val="nil"/>
          <w:right w:val="nil"/>
          <w:between w:val="nil"/>
        </w:pBdr>
        <w:spacing w:after="120" w:line="360" w:lineRule="auto"/>
        <w:ind w:leftChars="-142" w:left="0" w:hangingChars="142" w:hanging="284"/>
        <w:rPr>
          <w:rFonts w:ascii="Arial" w:hAnsi="Arial" w:cs="Arial"/>
        </w:rPr>
      </w:pPr>
      <w:r>
        <w:rPr>
          <w:rFonts w:ascii="Arial" w:hAnsi="Arial" w:cs="Arial"/>
        </w:rPr>
        <w:t xml:space="preserve">     Fonte: elaboração própria</w:t>
      </w:r>
    </w:p>
    <w:p w14:paraId="445C62BE" w14:textId="77777777" w:rsidR="00475BF7" w:rsidRDefault="00475BF7" w:rsidP="0071600C">
      <w:pPr>
        <w:pBdr>
          <w:top w:val="nil"/>
          <w:left w:val="nil"/>
          <w:bottom w:val="nil"/>
          <w:right w:val="nil"/>
          <w:between w:val="nil"/>
        </w:pBdr>
        <w:spacing w:after="120" w:line="360" w:lineRule="auto"/>
        <w:ind w:leftChars="-142" w:left="0" w:hangingChars="142" w:hanging="284"/>
        <w:rPr>
          <w:rFonts w:ascii="Arial" w:hAnsi="Arial" w:cs="Arial"/>
        </w:rPr>
      </w:pPr>
    </w:p>
    <w:p w14:paraId="2744E91E" w14:textId="77777777" w:rsidR="00475BF7" w:rsidRDefault="00475BF7" w:rsidP="0071600C">
      <w:pPr>
        <w:pBdr>
          <w:top w:val="nil"/>
          <w:left w:val="nil"/>
          <w:bottom w:val="nil"/>
          <w:right w:val="nil"/>
          <w:between w:val="nil"/>
        </w:pBdr>
        <w:spacing w:after="120" w:line="360" w:lineRule="auto"/>
        <w:ind w:leftChars="-142" w:left="0" w:hangingChars="142" w:hanging="284"/>
        <w:rPr>
          <w:rFonts w:ascii="Arial" w:hAnsi="Arial" w:cs="Arial"/>
        </w:rPr>
      </w:pPr>
    </w:p>
    <w:p w14:paraId="19AFF26D" w14:textId="77777777" w:rsidR="00475BF7" w:rsidRDefault="00475BF7" w:rsidP="0071600C">
      <w:pPr>
        <w:pBdr>
          <w:top w:val="nil"/>
          <w:left w:val="nil"/>
          <w:bottom w:val="nil"/>
          <w:right w:val="nil"/>
          <w:between w:val="nil"/>
        </w:pBdr>
        <w:spacing w:after="120" w:line="360" w:lineRule="auto"/>
        <w:ind w:leftChars="-142" w:left="0" w:hangingChars="142" w:hanging="284"/>
        <w:rPr>
          <w:rFonts w:ascii="Arial" w:hAnsi="Arial" w:cs="Arial"/>
        </w:rPr>
      </w:pPr>
    </w:p>
    <w:p w14:paraId="0DF400DD" w14:textId="77777777" w:rsidR="00475BF7" w:rsidRDefault="00475BF7" w:rsidP="0071600C">
      <w:pPr>
        <w:pBdr>
          <w:top w:val="nil"/>
          <w:left w:val="nil"/>
          <w:bottom w:val="nil"/>
          <w:right w:val="nil"/>
          <w:between w:val="nil"/>
        </w:pBdr>
        <w:spacing w:after="120" w:line="360" w:lineRule="auto"/>
        <w:ind w:leftChars="-142" w:left="0" w:hangingChars="142" w:hanging="284"/>
        <w:rPr>
          <w:rFonts w:ascii="Arial" w:hAnsi="Arial" w:cs="Arial"/>
        </w:rPr>
      </w:pPr>
    </w:p>
    <w:p w14:paraId="64D1D9C7" w14:textId="00CEB733" w:rsidR="00902BCB" w:rsidRDefault="00902BCB">
      <w:pPr>
        <w:suppressAutoHyphens w:val="0"/>
        <w:spacing w:line="240" w:lineRule="auto"/>
        <w:ind w:leftChars="0" w:left="0" w:firstLineChars="0" w:firstLine="0"/>
        <w:textDirection w:val="lrTb"/>
        <w:textAlignment w:val="auto"/>
        <w:outlineLvl w:val="9"/>
        <w:rPr>
          <w:rFonts w:ascii="Arial" w:hAnsi="Arial" w:cs="Arial"/>
        </w:rPr>
      </w:pPr>
      <w:r>
        <w:rPr>
          <w:rFonts w:ascii="Arial" w:hAnsi="Arial" w:cs="Arial"/>
        </w:rPr>
        <w:br w:type="page"/>
      </w:r>
    </w:p>
    <w:p w14:paraId="790DFC31" w14:textId="77777777" w:rsidR="00475BF7" w:rsidRDefault="00475BF7" w:rsidP="0071600C">
      <w:pPr>
        <w:pBdr>
          <w:top w:val="nil"/>
          <w:left w:val="nil"/>
          <w:bottom w:val="nil"/>
          <w:right w:val="nil"/>
          <w:between w:val="nil"/>
        </w:pBdr>
        <w:spacing w:after="120" w:line="360" w:lineRule="auto"/>
        <w:ind w:leftChars="-142" w:left="0" w:hangingChars="142" w:hanging="284"/>
        <w:rPr>
          <w:rFonts w:ascii="Arial" w:hAnsi="Arial" w:cs="Arial"/>
        </w:rPr>
      </w:pPr>
    </w:p>
    <w:p w14:paraId="2890CEBA" w14:textId="77777777" w:rsidR="00475BF7" w:rsidRDefault="00475BF7" w:rsidP="0071600C">
      <w:pPr>
        <w:pBdr>
          <w:top w:val="nil"/>
          <w:left w:val="nil"/>
          <w:bottom w:val="nil"/>
          <w:right w:val="nil"/>
          <w:between w:val="nil"/>
        </w:pBdr>
        <w:spacing w:after="120" w:line="360" w:lineRule="auto"/>
        <w:ind w:leftChars="-142" w:left="0" w:hangingChars="142" w:hanging="284"/>
        <w:rPr>
          <w:rFonts w:ascii="Arial" w:hAnsi="Arial" w:cs="Arial"/>
        </w:rPr>
      </w:pPr>
    </w:p>
    <w:p w14:paraId="565770D6" w14:textId="77777777" w:rsidR="00475BF7" w:rsidRDefault="00475BF7" w:rsidP="0071600C">
      <w:pPr>
        <w:pBdr>
          <w:top w:val="nil"/>
          <w:left w:val="nil"/>
          <w:bottom w:val="nil"/>
          <w:right w:val="nil"/>
          <w:between w:val="nil"/>
        </w:pBdr>
        <w:spacing w:after="120" w:line="360" w:lineRule="auto"/>
        <w:ind w:leftChars="-142" w:left="0" w:hangingChars="142" w:hanging="284"/>
        <w:rPr>
          <w:rFonts w:ascii="Arial" w:hAnsi="Arial" w:cs="Arial"/>
        </w:rPr>
      </w:pPr>
    </w:p>
    <w:p w14:paraId="41CF43BE" w14:textId="5BEAAEF7" w:rsidR="00475BF7" w:rsidRDefault="00475BF7" w:rsidP="00475BF7">
      <w:pPr>
        <w:keepNext/>
        <w:pBdr>
          <w:top w:val="nil"/>
          <w:left w:val="nil"/>
          <w:bottom w:val="nil"/>
          <w:right w:val="nil"/>
          <w:between w:val="nil"/>
        </w:pBdr>
        <w:spacing w:after="360" w:line="240" w:lineRule="auto"/>
        <w:ind w:left="0" w:hanging="2"/>
        <w:jc w:val="center"/>
        <w:rPr>
          <w:rFonts w:ascii="Arial" w:eastAsia="Arial" w:hAnsi="Arial" w:cs="Arial"/>
          <w:b/>
          <w:color w:val="000000"/>
          <w:sz w:val="24"/>
          <w:szCs w:val="24"/>
        </w:rPr>
      </w:pPr>
      <w:r w:rsidRPr="00C00114">
        <w:rPr>
          <w:rFonts w:ascii="Arial" w:eastAsia="Arial" w:hAnsi="Arial" w:cs="Arial"/>
          <w:b/>
          <w:color w:val="000000"/>
          <w:sz w:val="24"/>
          <w:szCs w:val="24"/>
        </w:rPr>
        <w:t xml:space="preserve">Apêndice </w:t>
      </w:r>
      <w:r>
        <w:rPr>
          <w:rFonts w:ascii="Arial" w:eastAsia="Arial" w:hAnsi="Arial" w:cs="Arial"/>
          <w:b/>
          <w:color w:val="000000"/>
          <w:sz w:val="24"/>
          <w:szCs w:val="24"/>
        </w:rPr>
        <w:t>B</w:t>
      </w:r>
      <w:r w:rsidRPr="00C00114">
        <w:rPr>
          <w:rFonts w:ascii="Arial" w:eastAsia="Arial" w:hAnsi="Arial" w:cs="Arial"/>
          <w:b/>
          <w:color w:val="000000"/>
          <w:sz w:val="24"/>
          <w:szCs w:val="24"/>
        </w:rPr>
        <w:t xml:space="preserve"> – Visão analítica do monitoramento</w:t>
      </w:r>
      <w:r w:rsidRPr="00986B6C">
        <w:rPr>
          <w:rFonts w:ascii="Arial" w:eastAsia="Arial" w:hAnsi="Arial" w:cs="Arial"/>
          <w:b/>
          <w:color w:val="000000"/>
          <w:sz w:val="24"/>
          <w:szCs w:val="24"/>
        </w:rPr>
        <w:t xml:space="preserve"> </w:t>
      </w:r>
      <w:r w:rsidR="009800F2">
        <w:rPr>
          <w:rFonts w:ascii="Arial" w:eastAsia="Arial" w:hAnsi="Arial" w:cs="Arial"/>
          <w:b/>
          <w:color w:val="000000"/>
          <w:sz w:val="24"/>
          <w:szCs w:val="24"/>
        </w:rPr>
        <w:t>5</w:t>
      </w:r>
      <w:r w:rsidRPr="00915ADD">
        <w:rPr>
          <w:rFonts w:ascii="Arial" w:eastAsia="Arial" w:hAnsi="Arial" w:cs="Arial"/>
          <w:b/>
          <w:color w:val="000000"/>
          <w:sz w:val="24"/>
          <w:szCs w:val="24"/>
        </w:rPr>
        <w:t xml:space="preserve"> do RA </w:t>
      </w:r>
      <w:r>
        <w:rPr>
          <w:rFonts w:ascii="Arial" w:eastAsia="Arial" w:hAnsi="Arial" w:cs="Arial"/>
          <w:b/>
          <w:color w:val="000000"/>
          <w:sz w:val="24"/>
          <w:szCs w:val="24"/>
        </w:rPr>
        <w:t>1</w:t>
      </w:r>
      <w:r w:rsidRPr="00915ADD">
        <w:rPr>
          <w:rFonts w:ascii="Arial" w:eastAsia="Arial" w:hAnsi="Arial" w:cs="Arial"/>
          <w:b/>
          <w:color w:val="000000"/>
          <w:sz w:val="24"/>
          <w:szCs w:val="24"/>
        </w:rPr>
        <w:t>/</w:t>
      </w:r>
      <w:r>
        <w:rPr>
          <w:rFonts w:ascii="Arial" w:eastAsia="Arial" w:hAnsi="Arial" w:cs="Arial"/>
          <w:b/>
          <w:color w:val="000000"/>
          <w:sz w:val="24"/>
          <w:szCs w:val="24"/>
        </w:rPr>
        <w:t>2020</w:t>
      </w:r>
    </w:p>
    <w:p w14:paraId="039107A4" w14:textId="77777777" w:rsidR="00872917" w:rsidRDefault="00EC4A3F" w:rsidP="00872917">
      <w:pPr>
        <w:pBdr>
          <w:top w:val="nil"/>
          <w:left w:val="nil"/>
          <w:bottom w:val="nil"/>
          <w:right w:val="nil"/>
          <w:between w:val="nil"/>
        </w:pBdr>
        <w:spacing w:after="120" w:line="360" w:lineRule="auto"/>
        <w:ind w:leftChars="-213" w:left="-2" w:hangingChars="176" w:hanging="424"/>
        <w:jc w:val="center"/>
        <w:rPr>
          <w:rFonts w:ascii="Arial" w:eastAsia="Arial" w:hAnsi="Arial" w:cs="Arial"/>
          <w:b/>
          <w:color w:val="000000"/>
          <w:sz w:val="24"/>
          <w:szCs w:val="24"/>
        </w:rPr>
      </w:pPr>
      <w:sdt>
        <w:sdtPr>
          <w:rPr>
            <w:rFonts w:ascii="Arial" w:eastAsia="Arial" w:hAnsi="Arial" w:cs="Arial"/>
            <w:b/>
            <w:color w:val="000000"/>
            <w:sz w:val="24"/>
            <w:szCs w:val="24"/>
          </w:rPr>
          <w:tag w:val="goog_rdk_68"/>
          <w:id w:val="633218586"/>
        </w:sdtPr>
        <w:sdtEndPr/>
        <w:sdtContent>
          <w:r w:rsidR="009D34D9" w:rsidRPr="00E4131C">
            <w:rPr>
              <w:rFonts w:ascii="Arial" w:eastAsia="Arial" w:hAnsi="Arial" w:cs="Arial"/>
              <w:b/>
              <w:color w:val="000000"/>
              <w:sz w:val="24"/>
              <w:szCs w:val="24"/>
            </w:rPr>
            <w:t xml:space="preserve">Quadro </w:t>
          </w:r>
        </w:sdtContent>
      </w:sdt>
      <w:r w:rsidR="00D75BA5">
        <w:rPr>
          <w:rFonts w:ascii="Arial" w:eastAsia="Arial" w:hAnsi="Arial" w:cs="Arial"/>
          <w:b/>
          <w:color w:val="000000"/>
          <w:sz w:val="24"/>
          <w:szCs w:val="24"/>
        </w:rPr>
        <w:t xml:space="preserve">1 </w:t>
      </w:r>
      <w:r w:rsidR="009D34D9" w:rsidRPr="00E4131C">
        <w:rPr>
          <w:rFonts w:ascii="Arial" w:eastAsia="Arial" w:hAnsi="Arial" w:cs="Arial"/>
          <w:b/>
          <w:color w:val="000000"/>
          <w:sz w:val="24"/>
          <w:szCs w:val="24"/>
        </w:rPr>
        <w:t xml:space="preserve">– </w:t>
      </w:r>
      <w:r w:rsidR="00872917" w:rsidRPr="00BE1FA0">
        <w:rPr>
          <w:rFonts w:ascii="Arial" w:eastAsia="Arial" w:hAnsi="Arial" w:cs="Arial"/>
          <w:b/>
          <w:color w:val="000000"/>
          <w:sz w:val="24"/>
          <w:szCs w:val="24"/>
        </w:rPr>
        <w:t>Ponto de auditoria 3.</w:t>
      </w:r>
      <w:r w:rsidR="00872917">
        <w:rPr>
          <w:rFonts w:ascii="Arial" w:eastAsia="Arial" w:hAnsi="Arial" w:cs="Arial"/>
          <w:b/>
          <w:color w:val="000000"/>
          <w:sz w:val="24"/>
          <w:szCs w:val="24"/>
        </w:rPr>
        <w:t>2</w:t>
      </w:r>
      <w:r w:rsidR="00872917" w:rsidRPr="00BE1FA0">
        <w:rPr>
          <w:rFonts w:ascii="Arial" w:eastAsia="Arial" w:hAnsi="Arial" w:cs="Arial"/>
          <w:b/>
          <w:color w:val="000000"/>
          <w:sz w:val="24"/>
          <w:szCs w:val="24"/>
        </w:rPr>
        <w:t xml:space="preserve"> – </w:t>
      </w:r>
      <w:r w:rsidR="00872917" w:rsidRPr="003B59F8">
        <w:rPr>
          <w:rFonts w:ascii="Arial" w:eastAsia="Arial" w:hAnsi="Arial" w:cs="Arial"/>
          <w:b/>
          <w:color w:val="000000"/>
          <w:sz w:val="24"/>
          <w:szCs w:val="24"/>
        </w:rPr>
        <w:t xml:space="preserve">Fragilidades </w:t>
      </w:r>
      <w:r w:rsidR="00872917">
        <w:rPr>
          <w:rFonts w:ascii="Arial" w:eastAsia="Arial" w:hAnsi="Arial" w:cs="Arial"/>
          <w:b/>
          <w:color w:val="000000"/>
          <w:sz w:val="24"/>
          <w:szCs w:val="24"/>
        </w:rPr>
        <w:t>na gestão cadastral dos beneficiários</w:t>
      </w:r>
    </w:p>
    <w:p w14:paraId="58676D0F" w14:textId="20D17548" w:rsidR="00B44014" w:rsidRPr="00BE1FA0" w:rsidRDefault="002E43F0" w:rsidP="0071600C">
      <w:pPr>
        <w:pBdr>
          <w:top w:val="nil"/>
          <w:left w:val="nil"/>
          <w:bottom w:val="nil"/>
          <w:right w:val="nil"/>
          <w:between w:val="nil"/>
        </w:pBdr>
        <w:tabs>
          <w:tab w:val="left" w:pos="993"/>
        </w:tabs>
        <w:spacing w:line="360" w:lineRule="auto"/>
        <w:ind w:leftChars="-213" w:left="-426" w:firstLineChars="58" w:firstLine="140"/>
        <w:jc w:val="both"/>
        <w:rPr>
          <w:rFonts w:ascii="Arial" w:eastAsia="Arial" w:hAnsi="Arial" w:cs="Arial"/>
          <w:color w:val="000000"/>
          <w:sz w:val="24"/>
          <w:szCs w:val="24"/>
        </w:rPr>
      </w:pPr>
      <w:r w:rsidRPr="00BE1FA0">
        <w:rPr>
          <w:rFonts w:ascii="Arial" w:eastAsia="Arial" w:hAnsi="Arial" w:cs="Arial"/>
          <w:b/>
          <w:color w:val="000000"/>
          <w:sz w:val="24"/>
          <w:szCs w:val="24"/>
        </w:rPr>
        <w:t>Recomendação 3.</w:t>
      </w:r>
      <w:r w:rsidR="009800F2">
        <w:rPr>
          <w:rFonts w:ascii="Arial" w:eastAsia="Arial" w:hAnsi="Arial" w:cs="Arial"/>
          <w:b/>
          <w:color w:val="000000"/>
          <w:sz w:val="24"/>
          <w:szCs w:val="24"/>
        </w:rPr>
        <w:t>2</w:t>
      </w:r>
      <w:r w:rsidRPr="00BE1FA0">
        <w:rPr>
          <w:rFonts w:ascii="Arial" w:eastAsia="Arial" w:hAnsi="Arial" w:cs="Arial"/>
          <w:b/>
          <w:color w:val="000000"/>
          <w:sz w:val="24"/>
          <w:szCs w:val="24"/>
        </w:rPr>
        <w:t xml:space="preserve">.8.1 – </w:t>
      </w:r>
      <w:r w:rsidR="009800F2">
        <w:rPr>
          <w:rFonts w:ascii="Arial" w:eastAsia="Arial" w:hAnsi="Arial" w:cs="Arial"/>
          <w:i/>
          <w:color w:val="000000"/>
          <w:sz w:val="24"/>
          <w:szCs w:val="24"/>
        </w:rPr>
        <w:t>À Seps</w:t>
      </w:r>
      <w:r w:rsidRPr="00BE1FA0">
        <w:rPr>
          <w:rFonts w:ascii="Arial" w:eastAsia="Arial" w:hAnsi="Arial" w:cs="Arial"/>
          <w:b/>
          <w:color w:val="000000"/>
          <w:sz w:val="24"/>
          <w:szCs w:val="24"/>
        </w:rPr>
        <w:t>:</w:t>
      </w:r>
    </w:p>
    <w:tbl>
      <w:tblPr>
        <w:tblStyle w:val="a1"/>
        <w:tblW w:w="225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0"/>
        <w:gridCol w:w="2126"/>
        <w:gridCol w:w="5812"/>
        <w:gridCol w:w="5953"/>
        <w:gridCol w:w="1701"/>
        <w:gridCol w:w="2552"/>
      </w:tblGrid>
      <w:tr w:rsidR="009800F2" w:rsidRPr="00BE1FA0" w14:paraId="4F0E6623" w14:textId="77777777" w:rsidTr="00F61254">
        <w:trPr>
          <w:cantSplit/>
          <w:trHeight w:val="593"/>
          <w:jc w:val="center"/>
        </w:trPr>
        <w:tc>
          <w:tcPr>
            <w:tcW w:w="4390" w:type="dxa"/>
            <w:vMerge w:val="restart"/>
            <w:shd w:val="clear" w:color="auto" w:fill="F2F2F2"/>
            <w:vAlign w:val="center"/>
          </w:tcPr>
          <w:p w14:paraId="014FBFE3" w14:textId="77777777" w:rsidR="009800F2" w:rsidRPr="00BE1FA0" w:rsidRDefault="009800F2" w:rsidP="00F61254">
            <w:pPr>
              <w:pBdr>
                <w:top w:val="nil"/>
                <w:left w:val="nil"/>
                <w:bottom w:val="nil"/>
                <w:right w:val="nil"/>
                <w:between w:val="nil"/>
              </w:pBdr>
              <w:tabs>
                <w:tab w:val="left" w:pos="993"/>
              </w:tabs>
              <w:spacing w:line="240" w:lineRule="auto"/>
              <w:ind w:left="0" w:hanging="2"/>
              <w:jc w:val="center"/>
              <w:rPr>
                <w:rFonts w:ascii="Arial" w:eastAsia="Arial" w:hAnsi="Arial" w:cs="Arial"/>
                <w:color w:val="000000"/>
              </w:rPr>
            </w:pPr>
            <w:r w:rsidRPr="00BE1FA0">
              <w:rPr>
                <w:rFonts w:ascii="Arial" w:eastAsia="Arial" w:hAnsi="Arial" w:cs="Arial"/>
                <w:b/>
                <w:color w:val="000000"/>
              </w:rPr>
              <w:t>Recomendação</w:t>
            </w:r>
          </w:p>
        </w:tc>
        <w:tc>
          <w:tcPr>
            <w:tcW w:w="2126" w:type="dxa"/>
            <w:vMerge w:val="restart"/>
            <w:shd w:val="clear" w:color="auto" w:fill="F2F2F2"/>
            <w:vAlign w:val="center"/>
          </w:tcPr>
          <w:p w14:paraId="6B8122F5" w14:textId="002B643D" w:rsidR="009800F2" w:rsidRPr="00BE1FA0" w:rsidRDefault="009800F2" w:rsidP="00762D69">
            <w:pPr>
              <w:pBdr>
                <w:top w:val="nil"/>
                <w:left w:val="nil"/>
                <w:bottom w:val="nil"/>
                <w:right w:val="nil"/>
                <w:between w:val="nil"/>
              </w:pBdr>
              <w:tabs>
                <w:tab w:val="left" w:pos="993"/>
              </w:tabs>
              <w:spacing w:line="240" w:lineRule="auto"/>
              <w:ind w:left="0" w:hanging="2"/>
              <w:jc w:val="center"/>
              <w:rPr>
                <w:rFonts w:ascii="Arial" w:eastAsia="Arial" w:hAnsi="Arial" w:cs="Arial"/>
                <w:color w:val="000000"/>
              </w:rPr>
            </w:pPr>
            <w:r w:rsidRPr="00BE1FA0">
              <w:rPr>
                <w:rFonts w:ascii="Arial" w:eastAsia="Arial" w:hAnsi="Arial" w:cs="Arial"/>
                <w:b/>
                <w:color w:val="000000"/>
              </w:rPr>
              <w:t xml:space="preserve">Monitoramento </w:t>
            </w:r>
            <w:r w:rsidR="00762D69">
              <w:rPr>
                <w:rFonts w:ascii="Arial" w:eastAsia="Arial" w:hAnsi="Arial" w:cs="Arial"/>
                <w:b/>
                <w:color w:val="000000"/>
              </w:rPr>
              <w:t>5</w:t>
            </w:r>
            <w:r w:rsidRPr="00BE1FA0">
              <w:rPr>
                <w:rFonts w:ascii="Arial" w:eastAsia="Arial" w:hAnsi="Arial" w:cs="Arial"/>
                <w:b/>
                <w:color w:val="000000"/>
              </w:rPr>
              <w:t xml:space="preserve"> </w:t>
            </w:r>
            <w:r>
              <w:rPr>
                <w:rFonts w:ascii="Arial" w:eastAsia="Arial" w:hAnsi="Arial" w:cs="Arial"/>
                <w:b/>
                <w:color w:val="000000"/>
              </w:rPr>
              <w:t>do RA 1/2020 em</w:t>
            </w:r>
            <w:r w:rsidRPr="00BE1FA0">
              <w:rPr>
                <w:rFonts w:ascii="Arial" w:eastAsia="Arial" w:hAnsi="Arial" w:cs="Arial"/>
                <w:b/>
                <w:color w:val="000000"/>
              </w:rPr>
              <w:t xml:space="preserve"> </w:t>
            </w:r>
            <w:r w:rsidR="00762D69">
              <w:rPr>
                <w:rFonts w:ascii="Arial" w:eastAsia="Arial" w:hAnsi="Arial" w:cs="Arial"/>
                <w:b/>
                <w:color w:val="000000"/>
              </w:rPr>
              <w:t>7</w:t>
            </w:r>
            <w:r w:rsidRPr="00BE1FA0">
              <w:rPr>
                <w:rFonts w:ascii="Arial" w:eastAsia="Arial" w:hAnsi="Arial" w:cs="Arial"/>
                <w:b/>
                <w:color w:val="000000"/>
              </w:rPr>
              <w:t>/</w:t>
            </w:r>
            <w:r w:rsidR="00762D69">
              <w:rPr>
                <w:rFonts w:ascii="Arial" w:eastAsia="Arial" w:hAnsi="Arial" w:cs="Arial"/>
                <w:b/>
                <w:color w:val="000000"/>
              </w:rPr>
              <w:t>12</w:t>
            </w:r>
            <w:r w:rsidRPr="00BE1FA0">
              <w:rPr>
                <w:rFonts w:ascii="Arial" w:eastAsia="Arial" w:hAnsi="Arial" w:cs="Arial"/>
                <w:b/>
                <w:color w:val="000000"/>
              </w:rPr>
              <w:t>/202</w:t>
            </w:r>
            <w:r>
              <w:rPr>
                <w:rFonts w:ascii="Arial" w:eastAsia="Arial" w:hAnsi="Arial" w:cs="Arial"/>
                <w:b/>
                <w:color w:val="000000"/>
              </w:rPr>
              <w:t xml:space="preserve">3 </w:t>
            </w:r>
            <w:r w:rsidRPr="00BE1FA0">
              <w:rPr>
                <w:rFonts w:ascii="Arial" w:eastAsia="Arial" w:hAnsi="Arial" w:cs="Arial"/>
                <w:b/>
                <w:color w:val="000000"/>
              </w:rPr>
              <w:t>(</w:t>
            </w:r>
            <w:r>
              <w:rPr>
                <w:rFonts w:ascii="Arial" w:eastAsia="Arial" w:hAnsi="Arial" w:cs="Arial"/>
                <w:b/>
                <w:color w:val="000000"/>
              </w:rPr>
              <w:t>situação</w:t>
            </w:r>
            <w:r w:rsidRPr="00BE1FA0">
              <w:rPr>
                <w:rFonts w:ascii="Arial" w:eastAsia="Arial" w:hAnsi="Arial" w:cs="Arial"/>
                <w:b/>
                <w:color w:val="000000"/>
              </w:rPr>
              <w:t>)</w:t>
            </w:r>
          </w:p>
        </w:tc>
        <w:tc>
          <w:tcPr>
            <w:tcW w:w="13466" w:type="dxa"/>
            <w:gridSpan w:val="3"/>
            <w:shd w:val="clear" w:color="auto" w:fill="F2F2F2"/>
            <w:vAlign w:val="center"/>
          </w:tcPr>
          <w:p w14:paraId="5426F363" w14:textId="51738377" w:rsidR="009800F2" w:rsidRPr="00BE1FA0" w:rsidRDefault="009800F2" w:rsidP="009B6F0F">
            <w:pPr>
              <w:pBdr>
                <w:top w:val="nil"/>
                <w:left w:val="nil"/>
                <w:bottom w:val="nil"/>
                <w:right w:val="nil"/>
                <w:between w:val="nil"/>
              </w:pBdr>
              <w:tabs>
                <w:tab w:val="left" w:pos="993"/>
              </w:tabs>
              <w:spacing w:line="240" w:lineRule="auto"/>
              <w:ind w:left="0" w:hanging="2"/>
              <w:jc w:val="center"/>
              <w:rPr>
                <w:rFonts w:ascii="Arial" w:eastAsia="Arial" w:hAnsi="Arial" w:cs="Arial"/>
                <w:color w:val="000000"/>
              </w:rPr>
            </w:pPr>
            <w:r w:rsidRPr="00BE1FA0">
              <w:rPr>
                <w:rFonts w:ascii="Arial" w:eastAsia="Arial" w:hAnsi="Arial" w:cs="Arial"/>
                <w:b/>
                <w:color w:val="000000"/>
              </w:rPr>
              <w:t xml:space="preserve">Monitoramento </w:t>
            </w:r>
            <w:r w:rsidR="009B6F0F">
              <w:rPr>
                <w:rFonts w:ascii="Arial" w:eastAsia="Arial" w:hAnsi="Arial" w:cs="Arial"/>
                <w:b/>
                <w:color w:val="000000"/>
              </w:rPr>
              <w:t>6</w:t>
            </w:r>
            <w:r>
              <w:rPr>
                <w:rFonts w:ascii="Arial" w:eastAsia="Arial" w:hAnsi="Arial" w:cs="Arial"/>
                <w:b/>
                <w:color w:val="000000"/>
              </w:rPr>
              <w:t xml:space="preserve"> do RA 1/2020</w:t>
            </w:r>
          </w:p>
        </w:tc>
        <w:tc>
          <w:tcPr>
            <w:tcW w:w="2552" w:type="dxa"/>
            <w:vMerge w:val="restart"/>
            <w:shd w:val="clear" w:color="auto" w:fill="F2F2F2"/>
          </w:tcPr>
          <w:p w14:paraId="7553EF02" w14:textId="77777777" w:rsidR="009800F2" w:rsidRDefault="009800F2" w:rsidP="00F61254">
            <w:pPr>
              <w:pBdr>
                <w:top w:val="nil"/>
                <w:left w:val="nil"/>
                <w:bottom w:val="nil"/>
                <w:right w:val="nil"/>
                <w:between w:val="nil"/>
              </w:pBdr>
              <w:tabs>
                <w:tab w:val="left" w:pos="993"/>
              </w:tabs>
              <w:spacing w:line="240" w:lineRule="auto"/>
              <w:ind w:left="0" w:hanging="2"/>
              <w:jc w:val="center"/>
              <w:rPr>
                <w:rFonts w:ascii="Arial" w:eastAsia="Arial" w:hAnsi="Arial" w:cs="Arial"/>
                <w:b/>
                <w:color w:val="000000"/>
              </w:rPr>
            </w:pPr>
          </w:p>
          <w:p w14:paraId="30051BF5" w14:textId="77777777" w:rsidR="009800F2" w:rsidRPr="00BE1FA0" w:rsidRDefault="009800F2" w:rsidP="00F61254">
            <w:pPr>
              <w:pBdr>
                <w:top w:val="nil"/>
                <w:left w:val="nil"/>
                <w:bottom w:val="nil"/>
                <w:right w:val="nil"/>
                <w:between w:val="nil"/>
              </w:pBdr>
              <w:tabs>
                <w:tab w:val="left" w:pos="993"/>
              </w:tabs>
              <w:spacing w:line="240" w:lineRule="auto"/>
              <w:ind w:left="0" w:hanging="2"/>
              <w:jc w:val="center"/>
              <w:rPr>
                <w:rFonts w:ascii="Arial" w:eastAsia="Arial" w:hAnsi="Arial" w:cs="Arial"/>
                <w:b/>
                <w:color w:val="000000"/>
              </w:rPr>
            </w:pPr>
            <w:r w:rsidRPr="00C74C53">
              <w:rPr>
                <w:rFonts w:ascii="Arial" w:eastAsia="Arial" w:hAnsi="Arial" w:cs="Arial"/>
                <w:b/>
                <w:color w:val="000000"/>
              </w:rPr>
              <w:t>Novas providências informadas pelo gestor</w:t>
            </w:r>
          </w:p>
        </w:tc>
      </w:tr>
      <w:tr w:rsidR="009800F2" w:rsidRPr="00BE1FA0" w14:paraId="74C3973C" w14:textId="77777777" w:rsidTr="00F61254">
        <w:trPr>
          <w:cantSplit/>
          <w:trHeight w:val="417"/>
          <w:jc w:val="center"/>
        </w:trPr>
        <w:tc>
          <w:tcPr>
            <w:tcW w:w="4390" w:type="dxa"/>
            <w:vMerge/>
            <w:shd w:val="clear" w:color="auto" w:fill="F2F2F2"/>
            <w:vAlign w:val="center"/>
          </w:tcPr>
          <w:p w14:paraId="76712846" w14:textId="77777777" w:rsidR="009800F2" w:rsidRPr="00BE1FA0" w:rsidRDefault="009800F2" w:rsidP="00F61254">
            <w:pPr>
              <w:pBdr>
                <w:top w:val="nil"/>
                <w:left w:val="nil"/>
                <w:bottom w:val="nil"/>
                <w:right w:val="nil"/>
                <w:between w:val="nil"/>
              </w:pBdr>
              <w:tabs>
                <w:tab w:val="left" w:pos="993"/>
              </w:tabs>
              <w:spacing w:line="240" w:lineRule="auto"/>
              <w:ind w:left="0" w:hanging="2"/>
              <w:jc w:val="center"/>
              <w:rPr>
                <w:rFonts w:ascii="Arial" w:eastAsia="Arial" w:hAnsi="Arial" w:cs="Arial"/>
                <w:color w:val="000000"/>
              </w:rPr>
            </w:pPr>
          </w:p>
        </w:tc>
        <w:tc>
          <w:tcPr>
            <w:tcW w:w="2126" w:type="dxa"/>
            <w:vMerge/>
            <w:shd w:val="clear" w:color="auto" w:fill="F2F2F2"/>
            <w:vAlign w:val="center"/>
          </w:tcPr>
          <w:p w14:paraId="6E230448" w14:textId="77777777" w:rsidR="009800F2" w:rsidRPr="00BE1FA0" w:rsidRDefault="009800F2" w:rsidP="00F61254">
            <w:pPr>
              <w:widowControl w:val="0"/>
              <w:pBdr>
                <w:top w:val="nil"/>
                <w:left w:val="nil"/>
                <w:bottom w:val="nil"/>
                <w:right w:val="nil"/>
                <w:between w:val="nil"/>
              </w:pBdr>
              <w:spacing w:line="276" w:lineRule="auto"/>
              <w:ind w:left="0" w:hanging="2"/>
              <w:rPr>
                <w:rFonts w:ascii="Arial" w:eastAsia="Arial" w:hAnsi="Arial" w:cs="Arial"/>
                <w:color w:val="000000"/>
              </w:rPr>
            </w:pPr>
          </w:p>
        </w:tc>
        <w:tc>
          <w:tcPr>
            <w:tcW w:w="5812" w:type="dxa"/>
            <w:shd w:val="clear" w:color="auto" w:fill="F2F2F2"/>
            <w:vAlign w:val="center"/>
          </w:tcPr>
          <w:p w14:paraId="50682BED" w14:textId="77777777" w:rsidR="009800F2" w:rsidRPr="00BE1FA0" w:rsidRDefault="009800F2" w:rsidP="00F61254">
            <w:pPr>
              <w:widowControl w:val="0"/>
              <w:pBdr>
                <w:top w:val="nil"/>
                <w:left w:val="nil"/>
                <w:bottom w:val="nil"/>
                <w:right w:val="nil"/>
                <w:between w:val="nil"/>
              </w:pBdr>
              <w:spacing w:line="276" w:lineRule="auto"/>
              <w:ind w:left="0" w:hanging="2"/>
              <w:jc w:val="center"/>
              <w:rPr>
                <w:rFonts w:ascii="Arial" w:eastAsia="Arial" w:hAnsi="Arial" w:cs="Arial"/>
                <w:color w:val="000000"/>
              </w:rPr>
            </w:pPr>
            <w:r>
              <w:rPr>
                <w:rFonts w:ascii="Arial" w:eastAsia="Arial" w:hAnsi="Arial" w:cs="Arial"/>
                <w:b/>
                <w:color w:val="000000"/>
              </w:rPr>
              <w:t>Síntese das p</w:t>
            </w:r>
            <w:r w:rsidRPr="00BE1FA0">
              <w:rPr>
                <w:rFonts w:ascii="Arial" w:eastAsia="Arial" w:hAnsi="Arial" w:cs="Arial"/>
                <w:b/>
                <w:color w:val="000000"/>
              </w:rPr>
              <w:t>rovidências informadas pelo gestor</w:t>
            </w:r>
          </w:p>
        </w:tc>
        <w:tc>
          <w:tcPr>
            <w:tcW w:w="5953" w:type="dxa"/>
            <w:shd w:val="clear" w:color="auto" w:fill="F2F2F2"/>
            <w:vAlign w:val="center"/>
          </w:tcPr>
          <w:p w14:paraId="476A00FC" w14:textId="77777777" w:rsidR="009800F2" w:rsidRPr="00BE1FA0" w:rsidRDefault="009800F2" w:rsidP="00F61254">
            <w:pPr>
              <w:pBdr>
                <w:top w:val="nil"/>
                <w:left w:val="nil"/>
                <w:bottom w:val="nil"/>
                <w:right w:val="nil"/>
                <w:between w:val="nil"/>
              </w:pBdr>
              <w:tabs>
                <w:tab w:val="left" w:pos="993"/>
              </w:tabs>
              <w:spacing w:line="240" w:lineRule="auto"/>
              <w:ind w:left="0" w:hanging="2"/>
              <w:jc w:val="center"/>
              <w:rPr>
                <w:rFonts w:ascii="Arial" w:eastAsia="Arial" w:hAnsi="Arial" w:cs="Arial"/>
                <w:color w:val="000000"/>
              </w:rPr>
            </w:pPr>
            <w:r w:rsidRPr="00BE1FA0">
              <w:rPr>
                <w:rFonts w:ascii="Arial" w:eastAsia="Arial" w:hAnsi="Arial" w:cs="Arial"/>
                <w:b/>
                <w:color w:val="000000"/>
              </w:rPr>
              <w:t>Análise</w:t>
            </w:r>
          </w:p>
        </w:tc>
        <w:tc>
          <w:tcPr>
            <w:tcW w:w="1701" w:type="dxa"/>
            <w:shd w:val="clear" w:color="auto" w:fill="F2F2F2"/>
            <w:vAlign w:val="center"/>
          </w:tcPr>
          <w:p w14:paraId="48B48DE0" w14:textId="77777777" w:rsidR="009800F2" w:rsidRPr="00BE1FA0" w:rsidRDefault="009800F2" w:rsidP="00F61254">
            <w:pPr>
              <w:pBdr>
                <w:top w:val="nil"/>
                <w:left w:val="nil"/>
                <w:bottom w:val="nil"/>
                <w:right w:val="nil"/>
                <w:between w:val="nil"/>
              </w:pBdr>
              <w:tabs>
                <w:tab w:val="left" w:pos="993"/>
              </w:tabs>
              <w:spacing w:line="240" w:lineRule="auto"/>
              <w:ind w:left="0" w:hanging="2"/>
              <w:jc w:val="center"/>
              <w:rPr>
                <w:rFonts w:ascii="Arial" w:eastAsia="Arial" w:hAnsi="Arial" w:cs="Arial"/>
                <w:color w:val="000000"/>
              </w:rPr>
            </w:pPr>
            <w:r w:rsidRPr="00BE1FA0">
              <w:rPr>
                <w:rFonts w:ascii="Arial" w:eastAsia="Arial" w:hAnsi="Arial" w:cs="Arial"/>
                <w:b/>
                <w:color w:val="000000"/>
              </w:rPr>
              <w:t>Conclusão</w:t>
            </w:r>
          </w:p>
        </w:tc>
        <w:tc>
          <w:tcPr>
            <w:tcW w:w="2552" w:type="dxa"/>
            <w:vMerge/>
            <w:shd w:val="clear" w:color="auto" w:fill="F2F2F2"/>
          </w:tcPr>
          <w:p w14:paraId="51B3AB68" w14:textId="77777777" w:rsidR="009800F2" w:rsidRPr="00BE1FA0" w:rsidRDefault="009800F2" w:rsidP="00F61254">
            <w:pPr>
              <w:pBdr>
                <w:top w:val="nil"/>
                <w:left w:val="nil"/>
                <w:bottom w:val="nil"/>
                <w:right w:val="nil"/>
                <w:between w:val="nil"/>
              </w:pBdr>
              <w:tabs>
                <w:tab w:val="left" w:pos="993"/>
              </w:tabs>
              <w:spacing w:line="240" w:lineRule="auto"/>
              <w:ind w:left="0" w:hanging="2"/>
              <w:jc w:val="center"/>
              <w:rPr>
                <w:rFonts w:ascii="Arial" w:eastAsia="Arial" w:hAnsi="Arial" w:cs="Arial"/>
                <w:b/>
                <w:color w:val="000000"/>
              </w:rPr>
            </w:pPr>
          </w:p>
        </w:tc>
      </w:tr>
      <w:tr w:rsidR="009800F2" w:rsidRPr="00BE1FA0" w14:paraId="10FD38AA" w14:textId="77777777" w:rsidTr="001C2043">
        <w:trPr>
          <w:trHeight w:val="3518"/>
          <w:jc w:val="center"/>
        </w:trPr>
        <w:tc>
          <w:tcPr>
            <w:tcW w:w="4390" w:type="dxa"/>
            <w:shd w:val="clear" w:color="auto" w:fill="C5E0B3"/>
            <w:vAlign w:val="center"/>
          </w:tcPr>
          <w:p w14:paraId="0E8DCC90" w14:textId="77777777" w:rsidR="009800F2" w:rsidRPr="00AC5FBD" w:rsidRDefault="009800F2" w:rsidP="00F61254">
            <w:pPr>
              <w:pBdr>
                <w:top w:val="nil"/>
                <w:left w:val="nil"/>
                <w:bottom w:val="nil"/>
                <w:right w:val="nil"/>
                <w:between w:val="nil"/>
              </w:pBdr>
              <w:spacing w:line="240" w:lineRule="auto"/>
              <w:ind w:left="0" w:hanging="2"/>
              <w:jc w:val="both"/>
              <w:rPr>
                <w:rFonts w:ascii="Arial" w:eastAsia="Arial" w:hAnsi="Arial" w:cs="Arial"/>
                <w:color w:val="000000"/>
              </w:rPr>
            </w:pPr>
            <w:r w:rsidRPr="00AC5FBD">
              <w:rPr>
                <w:rFonts w:ascii="Arial" w:hAnsi="Arial" w:cs="Arial"/>
                <w:color w:val="000000"/>
              </w:rPr>
              <w:t xml:space="preserve">a) </w:t>
            </w:r>
            <w:r w:rsidRPr="00AC5FBD">
              <w:rPr>
                <w:rFonts w:ascii="Arial" w:eastAsia="Arial" w:hAnsi="Arial" w:cs="Arial"/>
                <w:color w:val="000000"/>
              </w:rPr>
              <w:t>Coordenar, promover e aperfeiçoar, em conjunto com o Depes, a gestão cadastral de seus beneficiários conforme previsto no Anexo VI do Ato da Mesa n. 137/2014, adotando medidas que busquem identificar situações de mudança de dependência</w:t>
            </w:r>
          </w:p>
        </w:tc>
        <w:tc>
          <w:tcPr>
            <w:tcW w:w="2126" w:type="dxa"/>
            <w:shd w:val="clear" w:color="auto" w:fill="C5E0B3"/>
            <w:vAlign w:val="center"/>
          </w:tcPr>
          <w:p w14:paraId="70ED7C36" w14:textId="77777777" w:rsidR="009800F2" w:rsidRPr="00BE1FA0" w:rsidRDefault="009800F2" w:rsidP="00F61254">
            <w:pPr>
              <w:pBdr>
                <w:top w:val="nil"/>
                <w:left w:val="nil"/>
                <w:bottom w:val="nil"/>
                <w:right w:val="nil"/>
                <w:between w:val="nil"/>
              </w:pBdr>
              <w:tabs>
                <w:tab w:val="left" w:pos="993"/>
              </w:tabs>
              <w:spacing w:line="240" w:lineRule="auto"/>
              <w:ind w:left="0" w:hanging="2"/>
              <w:jc w:val="center"/>
              <w:rPr>
                <w:rFonts w:ascii="Arial" w:eastAsia="Arial" w:hAnsi="Arial" w:cs="Arial"/>
                <w:color w:val="000000"/>
              </w:rPr>
            </w:pPr>
            <w:r>
              <w:rPr>
                <w:rFonts w:ascii="Arial" w:eastAsia="Arial" w:hAnsi="Arial" w:cs="Arial"/>
                <w:color w:val="000000"/>
              </w:rPr>
              <w:t>Em atendimento</w:t>
            </w:r>
          </w:p>
        </w:tc>
        <w:tc>
          <w:tcPr>
            <w:tcW w:w="5812" w:type="dxa"/>
            <w:shd w:val="clear" w:color="auto" w:fill="C5E0B3"/>
            <w:vAlign w:val="center"/>
          </w:tcPr>
          <w:p w14:paraId="3E29AE9A" w14:textId="26C494D3" w:rsidR="001C6504" w:rsidRPr="001C6504" w:rsidRDefault="001C6504" w:rsidP="001C2043">
            <w:pPr>
              <w:pBdr>
                <w:top w:val="nil"/>
                <w:left w:val="nil"/>
                <w:bottom w:val="nil"/>
                <w:right w:val="nil"/>
                <w:between w:val="nil"/>
              </w:pBdr>
              <w:shd w:val="clear" w:color="auto" w:fill="C5E0B3"/>
              <w:tabs>
                <w:tab w:val="left" w:pos="993"/>
              </w:tabs>
              <w:spacing w:line="240" w:lineRule="auto"/>
              <w:ind w:left="0" w:hanging="2"/>
              <w:jc w:val="both"/>
              <w:rPr>
                <w:rFonts w:ascii="Arial" w:eastAsia="Arial" w:hAnsi="Arial" w:cs="Arial"/>
              </w:rPr>
            </w:pPr>
            <w:r>
              <w:rPr>
                <w:rFonts w:ascii="Arial" w:eastAsia="Arial" w:hAnsi="Arial" w:cs="Arial"/>
                <w:b/>
              </w:rPr>
              <w:t>Manifestação da Aproge, em 26/4/2024 (doc. 51)</w:t>
            </w:r>
            <w:r>
              <w:rPr>
                <w:rFonts w:ascii="Arial" w:eastAsia="Arial" w:hAnsi="Arial" w:cs="Arial"/>
              </w:rPr>
              <w:t>: A Assessoria destaca que, em 24/4/2024, foi editada</w:t>
            </w:r>
            <w:r w:rsidR="009375D4">
              <w:rPr>
                <w:rFonts w:ascii="Arial" w:eastAsia="Arial" w:hAnsi="Arial" w:cs="Arial"/>
              </w:rPr>
              <w:t>,</w:t>
            </w:r>
            <w:r>
              <w:rPr>
                <w:rFonts w:ascii="Arial" w:eastAsia="Arial" w:hAnsi="Arial" w:cs="Arial"/>
              </w:rPr>
              <w:t xml:space="preserve"> pelo</w:t>
            </w:r>
            <w:r w:rsidR="00106E9C">
              <w:rPr>
                <w:rFonts w:ascii="Arial" w:eastAsia="Arial" w:hAnsi="Arial" w:cs="Arial"/>
              </w:rPr>
              <w:t xml:space="preserve"> Diretor-Geral, a Portaria n. 2</w:t>
            </w:r>
            <w:r>
              <w:rPr>
                <w:rFonts w:ascii="Arial" w:eastAsia="Arial" w:hAnsi="Arial" w:cs="Arial"/>
              </w:rPr>
              <w:t>1, que institui o recadastramento dos servidores efetivos da Câmara dos Deputados</w:t>
            </w:r>
            <w:r w:rsidR="002333DA">
              <w:rPr>
                <w:rFonts w:ascii="Arial" w:eastAsia="Arial" w:hAnsi="Arial" w:cs="Arial"/>
              </w:rPr>
              <w:t>.</w:t>
            </w:r>
          </w:p>
          <w:p w14:paraId="0C719893" w14:textId="10F013BE" w:rsidR="009800F2" w:rsidRDefault="001C6504" w:rsidP="001C2043">
            <w:pPr>
              <w:pBdr>
                <w:top w:val="nil"/>
                <w:left w:val="nil"/>
                <w:bottom w:val="nil"/>
                <w:right w:val="nil"/>
                <w:between w:val="nil"/>
              </w:pBdr>
              <w:shd w:val="clear" w:color="auto" w:fill="C5E0B3"/>
              <w:tabs>
                <w:tab w:val="left" w:pos="993"/>
              </w:tabs>
              <w:spacing w:line="240" w:lineRule="auto"/>
              <w:ind w:left="0" w:hanging="2"/>
              <w:jc w:val="both"/>
              <w:rPr>
                <w:rFonts w:ascii="Arial" w:eastAsia="Arial" w:hAnsi="Arial" w:cs="Arial"/>
              </w:rPr>
            </w:pPr>
            <w:r>
              <w:rPr>
                <w:rFonts w:ascii="Arial" w:eastAsia="Arial" w:hAnsi="Arial" w:cs="Arial"/>
                <w:b/>
              </w:rPr>
              <w:t xml:space="preserve">Manifestação do </w:t>
            </w:r>
            <w:r w:rsidRPr="001C6504">
              <w:rPr>
                <w:rFonts w:ascii="Arial" w:eastAsia="Arial" w:hAnsi="Arial" w:cs="Arial"/>
                <w:b/>
              </w:rPr>
              <w:t>Depes, em 8/5/2024</w:t>
            </w:r>
            <w:r w:rsidR="0017542A">
              <w:rPr>
                <w:rFonts w:ascii="Arial" w:eastAsia="Arial" w:hAnsi="Arial" w:cs="Arial"/>
                <w:b/>
              </w:rPr>
              <w:t xml:space="preserve"> (doc. 53)</w:t>
            </w:r>
            <w:r w:rsidRPr="001C6504">
              <w:rPr>
                <w:rFonts w:ascii="Arial" w:eastAsia="Arial" w:hAnsi="Arial" w:cs="Arial"/>
                <w:b/>
              </w:rPr>
              <w:t>:</w:t>
            </w:r>
            <w:r>
              <w:rPr>
                <w:rFonts w:ascii="Arial" w:eastAsia="Arial" w:hAnsi="Arial" w:cs="Arial"/>
                <w:b/>
              </w:rPr>
              <w:t xml:space="preserve"> </w:t>
            </w:r>
            <w:r w:rsidR="00106E9C">
              <w:rPr>
                <w:rFonts w:ascii="Arial" w:eastAsia="Arial" w:hAnsi="Arial" w:cs="Arial"/>
              </w:rPr>
              <w:t>O Departamento salienta</w:t>
            </w:r>
            <w:r w:rsidR="0017542A">
              <w:rPr>
                <w:rFonts w:ascii="Arial" w:eastAsia="Arial" w:hAnsi="Arial" w:cs="Arial"/>
              </w:rPr>
              <w:t xml:space="preserve"> que, desde</w:t>
            </w:r>
            <w:r w:rsidR="002333DA">
              <w:rPr>
                <w:rFonts w:ascii="Arial" w:eastAsia="Arial" w:hAnsi="Arial" w:cs="Arial"/>
              </w:rPr>
              <w:t xml:space="preserve"> a</w:t>
            </w:r>
            <w:r w:rsidR="0017542A">
              <w:rPr>
                <w:rFonts w:ascii="Arial" w:eastAsia="Arial" w:hAnsi="Arial" w:cs="Arial"/>
              </w:rPr>
              <w:t xml:space="preserve"> edição da portaria, está trabalhando para possibilitar o recadastramento dos servidores, a ser realizado eletronicamente por meio de sistema desenvolvido pela Ditec</w:t>
            </w:r>
            <w:r w:rsidR="00106E9C">
              <w:rPr>
                <w:rFonts w:ascii="Arial" w:eastAsia="Arial" w:hAnsi="Arial" w:cs="Arial"/>
              </w:rPr>
              <w:t xml:space="preserve"> e atualmente em fase de homologação</w:t>
            </w:r>
            <w:r w:rsidR="0017542A">
              <w:rPr>
                <w:rFonts w:ascii="Arial" w:eastAsia="Arial" w:hAnsi="Arial" w:cs="Arial"/>
              </w:rPr>
              <w:t>. Acrescenta que o recadastramento periódico dos servidores efetivos da Casa reforçará a gestão cad</w:t>
            </w:r>
            <w:r w:rsidR="00106E9C">
              <w:rPr>
                <w:rFonts w:ascii="Arial" w:eastAsia="Arial" w:hAnsi="Arial" w:cs="Arial"/>
              </w:rPr>
              <w:t xml:space="preserve">astral e a exatidão das informações de servidores e dependentes. </w:t>
            </w:r>
          </w:p>
          <w:p w14:paraId="1644E0D6" w14:textId="6CBF9558" w:rsidR="00106E9C" w:rsidRPr="00106E9C" w:rsidRDefault="00106E9C" w:rsidP="00DE6C2D">
            <w:pPr>
              <w:pBdr>
                <w:top w:val="nil"/>
                <w:left w:val="nil"/>
                <w:bottom w:val="nil"/>
                <w:right w:val="nil"/>
                <w:between w:val="nil"/>
              </w:pBdr>
              <w:shd w:val="clear" w:color="auto" w:fill="C5E0B3"/>
              <w:tabs>
                <w:tab w:val="left" w:pos="993"/>
              </w:tabs>
              <w:spacing w:line="240" w:lineRule="auto"/>
              <w:ind w:left="0" w:hanging="2"/>
              <w:jc w:val="both"/>
              <w:rPr>
                <w:rFonts w:ascii="Arial" w:eastAsia="Arial" w:hAnsi="Arial" w:cs="Arial"/>
              </w:rPr>
            </w:pPr>
            <w:r>
              <w:rPr>
                <w:rFonts w:ascii="Arial" w:eastAsia="Arial" w:hAnsi="Arial" w:cs="Arial"/>
                <w:b/>
              </w:rPr>
              <w:t>Manifestação da Seps, em 15/5/2024 (doc. 56)</w:t>
            </w:r>
            <w:r>
              <w:rPr>
                <w:rFonts w:ascii="Arial" w:eastAsia="Arial" w:hAnsi="Arial" w:cs="Arial"/>
              </w:rPr>
              <w:t>: A Secretaria avalia que o recadastramento periódico obrigatório dos servidores, determinad</w:t>
            </w:r>
            <w:r w:rsidR="00DE6C2D">
              <w:rPr>
                <w:rFonts w:ascii="Arial" w:eastAsia="Arial" w:hAnsi="Arial" w:cs="Arial"/>
              </w:rPr>
              <w:t>o</w:t>
            </w:r>
            <w:r>
              <w:rPr>
                <w:rFonts w:ascii="Arial" w:eastAsia="Arial" w:hAnsi="Arial" w:cs="Arial"/>
              </w:rPr>
              <w:t xml:space="preserve"> pela Portaria n. 21/2024, aperfeiçoará os controles e </w:t>
            </w:r>
            <w:r w:rsidR="00DE6C2D">
              <w:rPr>
                <w:rFonts w:ascii="Arial" w:eastAsia="Arial" w:hAnsi="Arial" w:cs="Arial"/>
              </w:rPr>
              <w:t xml:space="preserve">as </w:t>
            </w:r>
            <w:r>
              <w:rPr>
                <w:rFonts w:ascii="Arial" w:eastAsia="Arial" w:hAnsi="Arial" w:cs="Arial"/>
              </w:rPr>
              <w:t xml:space="preserve">atualizações dos cadastros do Depes e do Pró-Saúde. </w:t>
            </w:r>
          </w:p>
        </w:tc>
        <w:tc>
          <w:tcPr>
            <w:tcW w:w="5953" w:type="dxa"/>
            <w:shd w:val="clear" w:color="auto" w:fill="C5E0B3"/>
            <w:vAlign w:val="center"/>
          </w:tcPr>
          <w:p w14:paraId="5F46059B" w14:textId="77777777" w:rsidR="009800F2" w:rsidRDefault="00E9574C" w:rsidP="00E9574C">
            <w:pPr>
              <w:pBdr>
                <w:top w:val="nil"/>
                <w:left w:val="nil"/>
                <w:bottom w:val="nil"/>
                <w:right w:val="nil"/>
                <w:between w:val="nil"/>
              </w:pBdr>
              <w:tabs>
                <w:tab w:val="left" w:pos="993"/>
              </w:tabs>
              <w:spacing w:line="240" w:lineRule="auto"/>
              <w:ind w:left="-2" w:firstLineChars="0" w:firstLine="0"/>
              <w:jc w:val="both"/>
              <w:rPr>
                <w:rFonts w:ascii="Arial" w:eastAsia="Arial" w:hAnsi="Arial" w:cs="Arial"/>
              </w:rPr>
            </w:pPr>
            <w:r>
              <w:rPr>
                <w:rFonts w:ascii="Arial" w:eastAsia="Arial" w:hAnsi="Arial" w:cs="Arial"/>
              </w:rPr>
              <w:t>Como destacado por vários órgãos da gestão, e</w:t>
            </w:r>
            <w:r w:rsidR="009375D4">
              <w:rPr>
                <w:rFonts w:ascii="Arial" w:eastAsia="Arial" w:hAnsi="Arial" w:cs="Arial"/>
              </w:rPr>
              <w:t>m 24/4/2024, o Diretor-Geral instituiu o recadastramento obrigatório dos servidores efetivos do quadro de p</w:t>
            </w:r>
            <w:r>
              <w:rPr>
                <w:rFonts w:ascii="Arial" w:eastAsia="Arial" w:hAnsi="Arial" w:cs="Arial"/>
              </w:rPr>
              <w:t>essoal da Casa, de modo a</w:t>
            </w:r>
            <w:r w:rsidR="009375D4">
              <w:rPr>
                <w:rFonts w:ascii="Arial" w:eastAsia="Arial" w:hAnsi="Arial" w:cs="Arial"/>
              </w:rPr>
              <w:t xml:space="preserve"> atualizar os registros dos dados cadastrais. Por meio de formulário eletrônico, todos os servidores efetivos devem se recadastrar</w:t>
            </w:r>
            <w:r>
              <w:rPr>
                <w:rFonts w:ascii="Arial" w:eastAsia="Arial" w:hAnsi="Arial" w:cs="Arial"/>
              </w:rPr>
              <w:t>, mesmo aqueles que estejam</w:t>
            </w:r>
            <w:r w:rsidR="009375D4">
              <w:rPr>
                <w:rFonts w:ascii="Arial" w:eastAsia="Arial" w:hAnsi="Arial" w:cs="Arial"/>
              </w:rPr>
              <w:t xml:space="preserve"> afastados, licenciados, fora do País ou cedidos a outros órgãos. </w:t>
            </w:r>
          </w:p>
          <w:p w14:paraId="09099BEC" w14:textId="51F015C5" w:rsidR="00E9574C" w:rsidRDefault="00E9574C" w:rsidP="00947012">
            <w:pPr>
              <w:pBdr>
                <w:top w:val="nil"/>
                <w:left w:val="nil"/>
                <w:bottom w:val="nil"/>
                <w:right w:val="nil"/>
                <w:between w:val="nil"/>
              </w:pBdr>
              <w:tabs>
                <w:tab w:val="left" w:pos="993"/>
              </w:tabs>
              <w:spacing w:line="240" w:lineRule="auto"/>
              <w:ind w:left="-2" w:firstLineChars="0" w:firstLine="0"/>
              <w:jc w:val="both"/>
              <w:rPr>
                <w:rFonts w:ascii="Arial" w:eastAsia="Arial" w:hAnsi="Arial" w:cs="Arial"/>
              </w:rPr>
            </w:pPr>
            <w:r>
              <w:rPr>
                <w:rFonts w:ascii="Arial" w:eastAsia="Arial" w:hAnsi="Arial" w:cs="Arial"/>
              </w:rPr>
              <w:t xml:space="preserve">Com isso, minimiza-se </w:t>
            </w:r>
            <w:r w:rsidR="00947012">
              <w:rPr>
                <w:rFonts w:ascii="Arial" w:eastAsia="Arial" w:hAnsi="Arial" w:cs="Arial"/>
              </w:rPr>
              <w:t>o risco apontado no item 3.2.5 do Relatório de Auditoria n. 1/2020 (</w:t>
            </w:r>
            <w:r w:rsidR="002333DA">
              <w:rPr>
                <w:rFonts w:ascii="Arial" w:eastAsia="Arial" w:hAnsi="Arial" w:cs="Arial"/>
              </w:rPr>
              <w:t>doc.</w:t>
            </w:r>
            <w:r w:rsidR="00947012">
              <w:rPr>
                <w:rFonts w:ascii="Arial" w:eastAsia="Arial" w:hAnsi="Arial" w:cs="Arial"/>
              </w:rPr>
              <w:t xml:space="preserve"> 2), qual seja, o risco de manutenção de beneficiários de forma irregular no programa, gerando despesas indevidas, inclusive as relativas a reembolso.</w:t>
            </w:r>
          </w:p>
          <w:p w14:paraId="082694AC" w14:textId="0CD145B6" w:rsidR="00947012" w:rsidRDefault="00947012" w:rsidP="004462BD">
            <w:pPr>
              <w:pBdr>
                <w:top w:val="nil"/>
                <w:left w:val="nil"/>
                <w:bottom w:val="nil"/>
                <w:right w:val="nil"/>
                <w:between w:val="nil"/>
              </w:pBdr>
              <w:tabs>
                <w:tab w:val="left" w:pos="993"/>
              </w:tabs>
              <w:spacing w:line="240" w:lineRule="auto"/>
              <w:ind w:left="-2" w:firstLineChars="0" w:firstLine="0"/>
              <w:jc w:val="both"/>
              <w:rPr>
                <w:rFonts w:ascii="Arial" w:eastAsia="Arial" w:hAnsi="Arial" w:cs="Arial"/>
              </w:rPr>
            </w:pPr>
            <w:r>
              <w:rPr>
                <w:rFonts w:ascii="Arial" w:eastAsia="Arial" w:hAnsi="Arial" w:cs="Arial"/>
              </w:rPr>
              <w:t>Tendo em vista</w:t>
            </w:r>
            <w:r w:rsidR="004462BD">
              <w:rPr>
                <w:rFonts w:ascii="Arial" w:eastAsia="Arial" w:hAnsi="Arial" w:cs="Arial"/>
              </w:rPr>
              <w:t xml:space="preserve"> todas</w:t>
            </w:r>
            <w:r>
              <w:rPr>
                <w:rFonts w:ascii="Arial" w:eastAsia="Arial" w:hAnsi="Arial" w:cs="Arial"/>
              </w:rPr>
              <w:t xml:space="preserve"> as medidas adotadas pela gestão</w:t>
            </w:r>
            <w:r w:rsidR="004462BD">
              <w:rPr>
                <w:rFonts w:ascii="Arial" w:eastAsia="Arial" w:hAnsi="Arial" w:cs="Arial"/>
              </w:rPr>
              <w:t xml:space="preserve"> para tornar mais confiáve</w:t>
            </w:r>
            <w:r w:rsidR="00DE6C2D">
              <w:rPr>
                <w:rFonts w:ascii="Arial" w:eastAsia="Arial" w:hAnsi="Arial" w:cs="Arial"/>
              </w:rPr>
              <w:t>is</w:t>
            </w:r>
            <w:r w:rsidR="004462BD">
              <w:rPr>
                <w:rFonts w:ascii="Arial" w:eastAsia="Arial" w:hAnsi="Arial" w:cs="Arial"/>
              </w:rPr>
              <w:t xml:space="preserve"> os dados cadastrais referentes a servidores e seus dependentes, considera-se a recomendação atendida. </w:t>
            </w:r>
          </w:p>
          <w:p w14:paraId="0DEEE297" w14:textId="536C0A98" w:rsidR="004462BD" w:rsidRPr="00BE1FA0" w:rsidRDefault="00DE6C2D" w:rsidP="00DE6C2D">
            <w:pPr>
              <w:pBdr>
                <w:top w:val="nil"/>
                <w:left w:val="nil"/>
                <w:bottom w:val="nil"/>
                <w:right w:val="nil"/>
                <w:between w:val="nil"/>
              </w:pBdr>
              <w:tabs>
                <w:tab w:val="left" w:pos="993"/>
              </w:tabs>
              <w:spacing w:line="240" w:lineRule="auto"/>
              <w:ind w:left="-2" w:firstLineChars="0" w:firstLine="0"/>
              <w:jc w:val="both"/>
              <w:rPr>
                <w:rFonts w:ascii="Arial" w:eastAsia="Arial" w:hAnsi="Arial" w:cs="Arial"/>
              </w:rPr>
            </w:pPr>
            <w:r>
              <w:rPr>
                <w:rFonts w:ascii="Arial" w:eastAsia="Arial" w:hAnsi="Arial" w:cs="Arial"/>
              </w:rPr>
              <w:t>Ressalte-se que, e</w:t>
            </w:r>
            <w:r w:rsidR="004462BD">
              <w:rPr>
                <w:rFonts w:ascii="Arial" w:eastAsia="Arial" w:hAnsi="Arial" w:cs="Arial"/>
              </w:rPr>
              <w:t xml:space="preserve">m ação de auditoria futura, os resultados provenientes do recadastramento dos servidores efetivos da Câmara dos Deputados </w:t>
            </w:r>
            <w:r w:rsidR="003810D7">
              <w:rPr>
                <w:rFonts w:ascii="Arial" w:eastAsia="Arial" w:hAnsi="Arial" w:cs="Arial"/>
              </w:rPr>
              <w:t xml:space="preserve">poderão </w:t>
            </w:r>
            <w:r w:rsidR="004462BD">
              <w:rPr>
                <w:rFonts w:ascii="Arial" w:eastAsia="Arial" w:hAnsi="Arial" w:cs="Arial"/>
              </w:rPr>
              <w:t xml:space="preserve">ser novamente analisados. </w:t>
            </w:r>
          </w:p>
        </w:tc>
        <w:tc>
          <w:tcPr>
            <w:tcW w:w="1701" w:type="dxa"/>
            <w:shd w:val="clear" w:color="auto" w:fill="C5E0B3"/>
            <w:vAlign w:val="center"/>
          </w:tcPr>
          <w:p w14:paraId="20777933" w14:textId="1EADBBFE" w:rsidR="009800F2" w:rsidRPr="007B39AF" w:rsidRDefault="009375D4" w:rsidP="00F61254">
            <w:pPr>
              <w:tabs>
                <w:tab w:val="left" w:pos="993"/>
              </w:tabs>
              <w:spacing w:after="120"/>
              <w:ind w:left="0" w:hanging="2"/>
              <w:jc w:val="center"/>
              <w:rPr>
                <w:rFonts w:ascii="Arial" w:eastAsia="Arial" w:hAnsi="Arial" w:cs="Arial"/>
                <w:b/>
              </w:rPr>
            </w:pPr>
            <w:r w:rsidRPr="007B39AF">
              <w:rPr>
                <w:rFonts w:ascii="Arial" w:eastAsia="Arial" w:hAnsi="Arial" w:cs="Arial"/>
                <w:b/>
              </w:rPr>
              <w:t>Atendida</w:t>
            </w:r>
          </w:p>
        </w:tc>
        <w:tc>
          <w:tcPr>
            <w:tcW w:w="2552" w:type="dxa"/>
            <w:shd w:val="clear" w:color="auto" w:fill="C5E0B3"/>
          </w:tcPr>
          <w:p w14:paraId="227151CD" w14:textId="77777777" w:rsidR="009800F2" w:rsidRDefault="009800F2" w:rsidP="00F61254">
            <w:pPr>
              <w:widowControl w:val="0"/>
              <w:spacing w:line="240" w:lineRule="auto"/>
              <w:ind w:left="0" w:hanging="2"/>
              <w:jc w:val="both"/>
              <w:rPr>
                <w:rFonts w:ascii="Arial" w:eastAsia="Arial" w:hAnsi="Arial" w:cs="Arial"/>
              </w:rPr>
            </w:pPr>
          </w:p>
          <w:p w14:paraId="1029895C" w14:textId="77777777" w:rsidR="00300E37" w:rsidRDefault="00300E37" w:rsidP="005C1A76">
            <w:pPr>
              <w:widowControl w:val="0"/>
              <w:spacing w:line="240" w:lineRule="auto"/>
              <w:ind w:left="0" w:hanging="2"/>
              <w:jc w:val="center"/>
              <w:rPr>
                <w:rFonts w:ascii="Arial" w:eastAsia="Arial" w:hAnsi="Arial" w:cs="Arial"/>
              </w:rPr>
            </w:pPr>
          </w:p>
          <w:p w14:paraId="24874545" w14:textId="77777777" w:rsidR="00300E37" w:rsidRDefault="00300E37" w:rsidP="005C1A76">
            <w:pPr>
              <w:widowControl w:val="0"/>
              <w:spacing w:line="240" w:lineRule="auto"/>
              <w:ind w:left="0" w:hanging="2"/>
              <w:jc w:val="center"/>
              <w:rPr>
                <w:rFonts w:ascii="Arial" w:eastAsia="Arial" w:hAnsi="Arial" w:cs="Arial"/>
              </w:rPr>
            </w:pPr>
          </w:p>
          <w:p w14:paraId="74794067" w14:textId="77777777" w:rsidR="00300E37" w:rsidRDefault="00300E37" w:rsidP="005C1A76">
            <w:pPr>
              <w:widowControl w:val="0"/>
              <w:spacing w:line="240" w:lineRule="auto"/>
              <w:ind w:left="0" w:hanging="2"/>
              <w:jc w:val="center"/>
              <w:rPr>
                <w:rFonts w:ascii="Arial" w:eastAsia="Arial" w:hAnsi="Arial" w:cs="Arial"/>
              </w:rPr>
            </w:pPr>
          </w:p>
          <w:p w14:paraId="6AA8B58A" w14:textId="77777777" w:rsidR="00300E37" w:rsidRDefault="00300E37" w:rsidP="005C1A76">
            <w:pPr>
              <w:widowControl w:val="0"/>
              <w:spacing w:line="240" w:lineRule="auto"/>
              <w:ind w:left="0" w:hanging="2"/>
              <w:jc w:val="center"/>
              <w:rPr>
                <w:rFonts w:ascii="Arial" w:eastAsia="Arial" w:hAnsi="Arial" w:cs="Arial"/>
              </w:rPr>
            </w:pPr>
          </w:p>
          <w:p w14:paraId="65494E5D" w14:textId="77777777" w:rsidR="00300E37" w:rsidRDefault="00300E37" w:rsidP="005C1A76">
            <w:pPr>
              <w:widowControl w:val="0"/>
              <w:spacing w:line="240" w:lineRule="auto"/>
              <w:ind w:left="0" w:hanging="2"/>
              <w:jc w:val="center"/>
              <w:rPr>
                <w:rFonts w:ascii="Arial" w:eastAsia="Arial" w:hAnsi="Arial" w:cs="Arial"/>
              </w:rPr>
            </w:pPr>
          </w:p>
          <w:p w14:paraId="485040D1" w14:textId="77777777" w:rsidR="00300E37" w:rsidRDefault="00300E37" w:rsidP="005C1A76">
            <w:pPr>
              <w:widowControl w:val="0"/>
              <w:spacing w:line="240" w:lineRule="auto"/>
              <w:ind w:left="0" w:hanging="2"/>
              <w:jc w:val="center"/>
              <w:rPr>
                <w:rFonts w:ascii="Arial" w:eastAsia="Arial" w:hAnsi="Arial" w:cs="Arial"/>
              </w:rPr>
            </w:pPr>
          </w:p>
          <w:p w14:paraId="49D37581" w14:textId="77777777" w:rsidR="00300E37" w:rsidRDefault="00300E37" w:rsidP="005C1A76">
            <w:pPr>
              <w:widowControl w:val="0"/>
              <w:spacing w:line="240" w:lineRule="auto"/>
              <w:ind w:left="0" w:hanging="2"/>
              <w:jc w:val="center"/>
              <w:rPr>
                <w:rFonts w:ascii="Arial" w:eastAsia="Arial" w:hAnsi="Arial" w:cs="Arial"/>
              </w:rPr>
            </w:pPr>
          </w:p>
          <w:p w14:paraId="705BE8C1" w14:textId="7BCCDE27" w:rsidR="009800F2" w:rsidRPr="00BE1FA0" w:rsidRDefault="001C2043" w:rsidP="005C1A76">
            <w:pPr>
              <w:widowControl w:val="0"/>
              <w:spacing w:line="240" w:lineRule="auto"/>
              <w:ind w:left="0" w:hanging="2"/>
              <w:jc w:val="center"/>
              <w:rPr>
                <w:rFonts w:ascii="Arial" w:eastAsia="Arial" w:hAnsi="Arial" w:cs="Arial"/>
              </w:rPr>
            </w:pPr>
            <w:r>
              <w:rPr>
                <w:rFonts w:ascii="Arial" w:eastAsia="Arial" w:hAnsi="Arial" w:cs="Arial"/>
              </w:rPr>
              <w:t>Não se aplica</w:t>
            </w:r>
          </w:p>
        </w:tc>
      </w:tr>
    </w:tbl>
    <w:p w14:paraId="2C165CB2" w14:textId="25531FDD" w:rsidR="00551056" w:rsidRDefault="00813479" w:rsidP="00551056">
      <w:pPr>
        <w:pBdr>
          <w:top w:val="nil"/>
          <w:left w:val="nil"/>
          <w:bottom w:val="nil"/>
          <w:right w:val="nil"/>
          <w:between w:val="nil"/>
        </w:pBdr>
        <w:spacing w:after="120" w:line="360" w:lineRule="auto"/>
        <w:ind w:leftChars="-213" w:left="-74" w:hangingChars="176" w:hanging="352"/>
        <w:rPr>
          <w:rFonts w:ascii="Arial" w:eastAsia="Arial" w:hAnsi="Arial" w:cs="Arial"/>
          <w:color w:val="000000"/>
        </w:rPr>
      </w:pPr>
      <w:r w:rsidRPr="00813479">
        <w:rPr>
          <w:rFonts w:ascii="Arial" w:eastAsia="Arial" w:hAnsi="Arial" w:cs="Arial"/>
          <w:color w:val="000000"/>
        </w:rPr>
        <w:t>Fonte: elaboração própria</w:t>
      </w:r>
    </w:p>
    <w:sectPr w:rsidR="00551056" w:rsidSect="001719E8">
      <w:headerReference w:type="even" r:id="rId9"/>
      <w:headerReference w:type="default" r:id="rId10"/>
      <w:footerReference w:type="even" r:id="rId11"/>
      <w:footerReference w:type="default" r:id="rId12"/>
      <w:headerReference w:type="first" r:id="rId13"/>
      <w:footerReference w:type="first" r:id="rId14"/>
      <w:pgSz w:w="23814" w:h="16839" w:orient="landscape"/>
      <w:pgMar w:top="1701" w:right="1247" w:bottom="425" w:left="992" w:header="56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4605C" w14:textId="77777777" w:rsidR="00241FDF" w:rsidRDefault="00241FDF">
      <w:pPr>
        <w:spacing w:line="240" w:lineRule="auto"/>
        <w:ind w:left="0" w:hanging="2"/>
      </w:pPr>
      <w:r>
        <w:separator/>
      </w:r>
    </w:p>
  </w:endnote>
  <w:endnote w:type="continuationSeparator" w:id="0">
    <w:p w14:paraId="0637FDC4" w14:textId="77777777" w:rsidR="00241FDF" w:rsidRDefault="00241FD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HG Mincho Light J">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932FC" w14:textId="77777777" w:rsidR="00BF122F" w:rsidRDefault="00BF122F">
    <w:pPr>
      <w:pStyle w:val="Rodap"/>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79867" w14:textId="2A5CE18B" w:rsidR="00BF122F" w:rsidRPr="00F95759" w:rsidRDefault="00BF122F" w:rsidP="00F95759">
    <w:pPr>
      <w:pStyle w:val="Rodap"/>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7EEF9" w14:textId="77777777" w:rsidR="00BF122F" w:rsidRDefault="00BF122F">
    <w:pPr>
      <w:pStyle w:val="Rodap"/>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DCE86" w14:textId="77777777" w:rsidR="00241FDF" w:rsidRDefault="00241FDF">
      <w:pPr>
        <w:spacing w:line="240" w:lineRule="auto"/>
        <w:ind w:left="0" w:hanging="2"/>
      </w:pPr>
      <w:r>
        <w:separator/>
      </w:r>
    </w:p>
  </w:footnote>
  <w:footnote w:type="continuationSeparator" w:id="0">
    <w:p w14:paraId="051A873F" w14:textId="77777777" w:rsidR="00241FDF" w:rsidRDefault="00241FDF">
      <w:pPr>
        <w:spacing w:line="240" w:lineRule="auto"/>
        <w:ind w:left="0" w:hanging="2"/>
      </w:pPr>
      <w:r>
        <w:continuationSeparator/>
      </w:r>
    </w:p>
  </w:footnote>
  <w:footnote w:id="1">
    <w:p w14:paraId="0B0D2494" w14:textId="6B1E94DD" w:rsidR="000F6910" w:rsidRDefault="000F6910" w:rsidP="00C95575">
      <w:pPr>
        <w:ind w:left="0" w:hanging="2"/>
      </w:pPr>
      <w:r>
        <w:rPr>
          <w:vertAlign w:val="superscript"/>
        </w:rPr>
        <w:footnoteRef/>
      </w:r>
      <w:r>
        <w:t xml:space="preserve"> Disponível em: &lt;</w:t>
      </w:r>
      <w:r w:rsidR="00676E3B" w:rsidRPr="00676E3B">
        <w:t>https://edoc.camara.gov.br/nuxeo/nxhome/default/default-domain/NACOP-SECIN.UT/WorkspaceAreaDeTrabalho/Relat%C3%B3rio%20de%20Auditoria%20Conjunta%20-%20Pr%C3%B3-Sa%C3%BAde.1594852756744@view_documents?tabIds=MAIN_TABS%3Ahome&amp;conversationId=0NXMAIN2</w:t>
      </w:r>
      <w:r w:rsidR="00676E3B">
        <w:t xml:space="preserve"> </w:t>
      </w:r>
      <w:r>
        <w:t xml:space="preserve">&gt;. Acesso em: </w:t>
      </w:r>
      <w:r w:rsidR="000D6079">
        <w:t>14</w:t>
      </w:r>
      <w:r>
        <w:t xml:space="preserve"> </w:t>
      </w:r>
      <w:r w:rsidR="000D6079">
        <w:t>jun</w:t>
      </w:r>
      <w:r>
        <w:t>. 202</w:t>
      </w:r>
      <w:r w:rsidR="000D6079">
        <w:t>4</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03BF2" w14:textId="77777777" w:rsidR="00B44014" w:rsidRDefault="002E43F0">
    <w:pPr>
      <w:keepNext/>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CÂMARA DOS DEPUTADOS</w:t>
    </w:r>
  </w:p>
  <w:p w14:paraId="1C888603" w14:textId="77777777" w:rsidR="00B44014" w:rsidRDefault="002E43F0">
    <w:pPr>
      <w:keepNext/>
      <w:pBdr>
        <w:top w:val="nil"/>
        <w:left w:val="nil"/>
        <w:bottom w:val="nil"/>
        <w:right w:val="nil"/>
        <w:between w:val="nil"/>
      </w:pBdr>
      <w:spacing w:line="240" w:lineRule="auto"/>
      <w:ind w:left="0" w:hanging="2"/>
      <w:rPr>
        <w:rFonts w:ascii="Arial" w:eastAsia="Arial" w:hAnsi="Arial" w:cs="Arial"/>
        <w:b/>
        <w:color w:val="000000"/>
        <w:sz w:val="22"/>
        <w:szCs w:val="22"/>
      </w:rPr>
    </w:pPr>
    <w:r>
      <w:rPr>
        <w:rFonts w:ascii="Arial" w:eastAsia="Arial" w:hAnsi="Arial" w:cs="Arial"/>
        <w:b/>
        <w:color w:val="000000"/>
        <w:sz w:val="22"/>
        <w:szCs w:val="22"/>
      </w:rPr>
      <w:tab/>
    </w:r>
    <w:r>
      <w:rPr>
        <w:rFonts w:ascii="Arial" w:eastAsia="Arial" w:hAnsi="Arial" w:cs="Arial"/>
        <w:b/>
        <w:color w:val="000000"/>
        <w:sz w:val="22"/>
        <w:szCs w:val="22"/>
      </w:rPr>
      <w:tab/>
      <w:t>SECRETARIA DE CONTROLE INTERNO</w:t>
    </w:r>
  </w:p>
  <w:p w14:paraId="3C89E56D" w14:textId="77777777" w:rsidR="00B44014" w:rsidRDefault="002E43F0">
    <w:pPr>
      <w:pBdr>
        <w:top w:val="nil"/>
        <w:left w:val="nil"/>
        <w:bottom w:val="nil"/>
        <w:right w:val="nil"/>
        <w:between w:val="nil"/>
      </w:pBdr>
      <w:tabs>
        <w:tab w:val="center" w:pos="4419"/>
        <w:tab w:val="right" w:pos="8838"/>
        <w:tab w:val="left" w:pos="1418"/>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b/>
      <w:t>Núcleo de Auditoria de Recursos Humanos</w:t>
    </w:r>
  </w:p>
  <w:p w14:paraId="11335341" w14:textId="77777777" w:rsidR="00B44014" w:rsidRDefault="002E43F0">
    <w:pPr>
      <w:pBdr>
        <w:top w:val="nil"/>
        <w:left w:val="nil"/>
        <w:bottom w:val="nil"/>
        <w:right w:val="nil"/>
        <w:between w:val="nil"/>
      </w:pBdr>
      <w:tabs>
        <w:tab w:val="center" w:pos="4419"/>
        <w:tab w:val="right" w:pos="8838"/>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Processo 133.004/2012</w:t>
    </w:r>
  </w:p>
  <w:p w14:paraId="790D911E" w14:textId="77777777" w:rsidR="00B44014" w:rsidRDefault="00B44014">
    <w:pPr>
      <w:pBdr>
        <w:top w:val="nil"/>
        <w:left w:val="nil"/>
        <w:bottom w:val="nil"/>
        <w:right w:val="nil"/>
        <w:between w:val="nil"/>
      </w:pBdr>
      <w:tabs>
        <w:tab w:val="center" w:pos="4419"/>
        <w:tab w:val="right" w:pos="8838"/>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9212" w:type="dxa"/>
      <w:tblInd w:w="0" w:type="dxa"/>
      <w:tblLayout w:type="fixed"/>
      <w:tblLook w:val="0000" w:firstRow="0" w:lastRow="0" w:firstColumn="0" w:lastColumn="0" w:noHBand="0" w:noVBand="0"/>
    </w:tblPr>
    <w:tblGrid>
      <w:gridCol w:w="1526"/>
      <w:gridCol w:w="7686"/>
    </w:tblGrid>
    <w:tr w:rsidR="00B44014" w14:paraId="5982A49D" w14:textId="77777777">
      <w:trPr>
        <w:trHeight w:val="1349"/>
      </w:trPr>
      <w:tc>
        <w:tcPr>
          <w:tcW w:w="1526" w:type="dxa"/>
        </w:tcPr>
        <w:p w14:paraId="0E81E911" w14:textId="77777777" w:rsidR="00B44014" w:rsidRDefault="002E43F0">
          <w:pPr>
            <w:pBdr>
              <w:top w:val="nil"/>
              <w:left w:val="nil"/>
              <w:bottom w:val="nil"/>
              <w:right w:val="nil"/>
              <w:between w:val="nil"/>
            </w:pBdr>
            <w:tabs>
              <w:tab w:val="center" w:pos="4419"/>
              <w:tab w:val="right" w:pos="8838"/>
            </w:tabs>
            <w:spacing w:line="240" w:lineRule="auto"/>
            <w:ind w:left="0" w:hanging="2"/>
            <w:rPr>
              <w:rFonts w:ascii="Arial" w:eastAsia="Arial" w:hAnsi="Arial" w:cs="Arial"/>
              <w:color w:val="000000"/>
              <w:sz w:val="22"/>
              <w:szCs w:val="22"/>
            </w:rPr>
          </w:pPr>
          <w:r>
            <w:rPr>
              <w:noProof/>
            </w:rPr>
            <w:drawing>
              <wp:anchor distT="0" distB="0" distL="114300" distR="114300" simplePos="0" relativeHeight="251658240" behindDoc="0" locked="0" layoutInCell="1" hidden="0" allowOverlap="1" wp14:anchorId="16107498" wp14:editId="1055A717">
                <wp:simplePos x="0" y="0"/>
                <wp:positionH relativeFrom="column">
                  <wp:posOffset>1</wp:posOffset>
                </wp:positionH>
                <wp:positionV relativeFrom="paragraph">
                  <wp:posOffset>0</wp:posOffset>
                </wp:positionV>
                <wp:extent cx="743585" cy="76835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3585" cy="768350"/>
                        </a:xfrm>
                        <a:prstGeom prst="rect">
                          <a:avLst/>
                        </a:prstGeom>
                        <a:ln/>
                      </pic:spPr>
                    </pic:pic>
                  </a:graphicData>
                </a:graphic>
              </wp:anchor>
            </w:drawing>
          </w:r>
        </w:p>
      </w:tc>
      <w:tc>
        <w:tcPr>
          <w:tcW w:w="7686" w:type="dxa"/>
        </w:tcPr>
        <w:p w14:paraId="28D6E70D" w14:textId="77777777" w:rsidR="00B44014" w:rsidRPr="00D40D93" w:rsidRDefault="002E43F0">
          <w:pPr>
            <w:pBdr>
              <w:top w:val="nil"/>
              <w:left w:val="nil"/>
              <w:bottom w:val="nil"/>
              <w:right w:val="nil"/>
              <w:between w:val="nil"/>
            </w:pBdr>
            <w:tabs>
              <w:tab w:val="center" w:pos="4419"/>
              <w:tab w:val="right" w:pos="8838"/>
            </w:tabs>
            <w:spacing w:after="20" w:line="240" w:lineRule="auto"/>
            <w:ind w:left="0" w:hanging="2"/>
            <w:rPr>
              <w:rFonts w:ascii="Arial" w:eastAsia="Arial" w:hAnsi="Arial" w:cs="Arial"/>
              <w:b/>
              <w:color w:val="000000"/>
              <w:sz w:val="24"/>
              <w:szCs w:val="24"/>
            </w:rPr>
          </w:pPr>
          <w:r w:rsidRPr="00D40D93">
            <w:rPr>
              <w:rFonts w:ascii="Arial" w:eastAsia="Arial" w:hAnsi="Arial" w:cs="Arial"/>
              <w:b/>
              <w:smallCaps/>
              <w:color w:val="000000"/>
              <w:sz w:val="24"/>
              <w:szCs w:val="24"/>
            </w:rPr>
            <w:t>CÂMARA DOS DEPUTADOS</w:t>
          </w:r>
        </w:p>
        <w:p w14:paraId="7CB79FD0" w14:textId="2B7ADBE2" w:rsidR="00D40D93" w:rsidRPr="00D40D93" w:rsidRDefault="00D40D93">
          <w:pPr>
            <w:pBdr>
              <w:top w:val="nil"/>
              <w:left w:val="nil"/>
              <w:bottom w:val="nil"/>
              <w:right w:val="nil"/>
              <w:between w:val="nil"/>
            </w:pBdr>
            <w:tabs>
              <w:tab w:val="center" w:pos="4419"/>
              <w:tab w:val="right" w:pos="8838"/>
              <w:tab w:val="center" w:pos="4995"/>
            </w:tabs>
            <w:spacing w:after="20" w:line="240" w:lineRule="auto"/>
            <w:ind w:left="0" w:hanging="2"/>
            <w:rPr>
              <w:rFonts w:ascii="Arial" w:eastAsia="Arial" w:hAnsi="Arial" w:cs="Arial"/>
              <w:color w:val="000000"/>
              <w:sz w:val="22"/>
              <w:szCs w:val="22"/>
            </w:rPr>
          </w:pPr>
          <w:r w:rsidRPr="00D40D93">
            <w:rPr>
              <w:rFonts w:ascii="Arial" w:eastAsia="Arial" w:hAnsi="Arial" w:cs="Arial"/>
              <w:color w:val="000000"/>
              <w:sz w:val="22"/>
              <w:szCs w:val="22"/>
            </w:rPr>
            <w:t>MESA DIRETORA</w:t>
          </w:r>
        </w:p>
        <w:p w14:paraId="576AA833" w14:textId="50637427" w:rsidR="00B44014" w:rsidRPr="00D40D93" w:rsidRDefault="00D40D93">
          <w:pPr>
            <w:pBdr>
              <w:top w:val="nil"/>
              <w:left w:val="nil"/>
              <w:bottom w:val="nil"/>
              <w:right w:val="nil"/>
              <w:between w:val="nil"/>
            </w:pBdr>
            <w:tabs>
              <w:tab w:val="center" w:pos="4419"/>
              <w:tab w:val="right" w:pos="8838"/>
              <w:tab w:val="center" w:pos="4995"/>
            </w:tabs>
            <w:spacing w:after="20" w:line="240" w:lineRule="auto"/>
            <w:ind w:left="0" w:hanging="2"/>
            <w:rPr>
              <w:rFonts w:ascii="Arial" w:eastAsia="Arial" w:hAnsi="Arial" w:cs="Arial"/>
              <w:color w:val="000000"/>
              <w:sz w:val="22"/>
              <w:szCs w:val="22"/>
            </w:rPr>
          </w:pPr>
          <w:r w:rsidRPr="00D40D93">
            <w:rPr>
              <w:rFonts w:ascii="Arial" w:eastAsia="Arial" w:hAnsi="Arial" w:cs="Arial"/>
              <w:color w:val="000000"/>
              <w:sz w:val="22"/>
              <w:szCs w:val="22"/>
            </w:rPr>
            <w:t>Secretaria de Controle Interno</w:t>
          </w:r>
        </w:p>
        <w:p w14:paraId="31C39B7F" w14:textId="77777777" w:rsidR="00B44014" w:rsidRDefault="002E43F0">
          <w:pPr>
            <w:pBdr>
              <w:top w:val="nil"/>
              <w:left w:val="nil"/>
              <w:bottom w:val="nil"/>
              <w:right w:val="nil"/>
              <w:between w:val="nil"/>
            </w:pBdr>
            <w:tabs>
              <w:tab w:val="center" w:pos="4419"/>
              <w:tab w:val="right" w:pos="8838"/>
            </w:tabs>
            <w:spacing w:after="20" w:line="240" w:lineRule="auto"/>
            <w:ind w:left="0" w:hanging="2"/>
            <w:rPr>
              <w:rFonts w:ascii="Arial" w:eastAsia="Arial" w:hAnsi="Arial" w:cs="Arial"/>
              <w:color w:val="000000"/>
              <w:sz w:val="22"/>
              <w:szCs w:val="22"/>
            </w:rPr>
          </w:pPr>
          <w:r>
            <w:rPr>
              <w:rFonts w:ascii="Arial" w:eastAsia="Arial" w:hAnsi="Arial" w:cs="Arial"/>
              <w:color w:val="000000"/>
              <w:sz w:val="22"/>
              <w:szCs w:val="22"/>
            </w:rPr>
            <w:t>Processo n. 430.140/2020</w:t>
          </w:r>
        </w:p>
        <w:p w14:paraId="523F17D8" w14:textId="69E2911D" w:rsidR="00B44014" w:rsidRDefault="007B39AF" w:rsidP="00F318C9">
          <w:pPr>
            <w:pBdr>
              <w:top w:val="nil"/>
              <w:left w:val="nil"/>
              <w:bottom w:val="nil"/>
              <w:right w:val="nil"/>
              <w:between w:val="nil"/>
            </w:pBdr>
            <w:tabs>
              <w:tab w:val="center" w:pos="4419"/>
              <w:tab w:val="right" w:pos="8838"/>
            </w:tabs>
            <w:spacing w:after="20"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Sexto </w:t>
          </w:r>
          <w:r w:rsidR="00B31059">
            <w:rPr>
              <w:rFonts w:ascii="Arial" w:eastAsia="Arial" w:hAnsi="Arial" w:cs="Arial"/>
              <w:color w:val="000000"/>
              <w:sz w:val="22"/>
              <w:szCs w:val="22"/>
            </w:rPr>
            <w:t>M</w:t>
          </w:r>
          <w:r w:rsidR="002E43F0">
            <w:rPr>
              <w:rFonts w:ascii="Arial" w:eastAsia="Arial" w:hAnsi="Arial" w:cs="Arial"/>
              <w:color w:val="000000"/>
              <w:sz w:val="22"/>
              <w:szCs w:val="22"/>
            </w:rPr>
            <w:t>onitoramento do Relatório de Auditoria Secin n. 1/2020</w:t>
          </w:r>
        </w:p>
      </w:tc>
    </w:tr>
  </w:tbl>
  <w:p w14:paraId="03F21180" w14:textId="77777777" w:rsidR="00B44014" w:rsidRDefault="00B44014">
    <w:pPr>
      <w:pBdr>
        <w:top w:val="nil"/>
        <w:left w:val="nil"/>
        <w:bottom w:val="nil"/>
        <w:right w:val="nil"/>
        <w:between w:val="nil"/>
      </w:pBdr>
      <w:tabs>
        <w:tab w:val="center" w:pos="4419"/>
        <w:tab w:val="right" w:pos="8838"/>
      </w:tabs>
      <w:spacing w:line="240" w:lineRule="auto"/>
      <w:ind w:left="0" w:hanging="2"/>
      <w:rPr>
        <w:rFonts w:ascii="Arial" w:eastAsia="Arial" w:hAnsi="Arial" w:cs="Arial"/>
        <w:color w:val="000000"/>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CFD54" w14:textId="77777777" w:rsidR="00BF122F" w:rsidRDefault="00BF122F">
    <w:pPr>
      <w:pStyle w:val="Cabealh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35DD6"/>
    <w:multiLevelType w:val="multilevel"/>
    <w:tmpl w:val="3472418A"/>
    <w:lvl w:ilvl="0">
      <w:start w:val="1"/>
      <w:numFmt w:val="lowerLetter"/>
      <w:pStyle w:val="TextoNumerado"/>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20A2954"/>
    <w:multiLevelType w:val="hybridMultilevel"/>
    <w:tmpl w:val="12C2115A"/>
    <w:lvl w:ilvl="0" w:tplc="CF08E65C">
      <w:start w:val="1"/>
      <w:numFmt w:val="lowerLetter"/>
      <w:lvlText w:val="%1)"/>
      <w:lvlJc w:val="left"/>
      <w:pPr>
        <w:ind w:left="358" w:hanging="360"/>
      </w:pPr>
      <w:rPr>
        <w:rFonts w:eastAsia="Times New Roman" w:hint="default"/>
        <w:b/>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 w15:restartNumberingAfterBreak="0">
    <w:nsid w:val="4A4D439B"/>
    <w:multiLevelType w:val="hybridMultilevel"/>
    <w:tmpl w:val="B1524AF4"/>
    <w:lvl w:ilvl="0" w:tplc="B67419B6">
      <w:numFmt w:val="bullet"/>
      <w:lvlText w:val=""/>
      <w:lvlJc w:val="left"/>
      <w:pPr>
        <w:ind w:left="358" w:hanging="360"/>
      </w:pPr>
      <w:rPr>
        <w:rFonts w:ascii="Symbol" w:eastAsia="Arial" w:hAnsi="Symbol" w:cs="Arial" w:hint="default"/>
      </w:rPr>
    </w:lvl>
    <w:lvl w:ilvl="1" w:tplc="04160003" w:tentative="1">
      <w:start w:val="1"/>
      <w:numFmt w:val="bullet"/>
      <w:lvlText w:val="o"/>
      <w:lvlJc w:val="left"/>
      <w:pPr>
        <w:ind w:left="1078" w:hanging="360"/>
      </w:pPr>
      <w:rPr>
        <w:rFonts w:ascii="Courier New" w:hAnsi="Courier New" w:cs="Courier New" w:hint="default"/>
      </w:rPr>
    </w:lvl>
    <w:lvl w:ilvl="2" w:tplc="04160005" w:tentative="1">
      <w:start w:val="1"/>
      <w:numFmt w:val="bullet"/>
      <w:lvlText w:val=""/>
      <w:lvlJc w:val="left"/>
      <w:pPr>
        <w:ind w:left="1798" w:hanging="360"/>
      </w:pPr>
      <w:rPr>
        <w:rFonts w:ascii="Wingdings" w:hAnsi="Wingdings" w:hint="default"/>
      </w:rPr>
    </w:lvl>
    <w:lvl w:ilvl="3" w:tplc="04160001" w:tentative="1">
      <w:start w:val="1"/>
      <w:numFmt w:val="bullet"/>
      <w:lvlText w:val=""/>
      <w:lvlJc w:val="left"/>
      <w:pPr>
        <w:ind w:left="2518" w:hanging="360"/>
      </w:pPr>
      <w:rPr>
        <w:rFonts w:ascii="Symbol" w:hAnsi="Symbol" w:hint="default"/>
      </w:rPr>
    </w:lvl>
    <w:lvl w:ilvl="4" w:tplc="04160003" w:tentative="1">
      <w:start w:val="1"/>
      <w:numFmt w:val="bullet"/>
      <w:lvlText w:val="o"/>
      <w:lvlJc w:val="left"/>
      <w:pPr>
        <w:ind w:left="3238" w:hanging="360"/>
      </w:pPr>
      <w:rPr>
        <w:rFonts w:ascii="Courier New" w:hAnsi="Courier New" w:cs="Courier New" w:hint="default"/>
      </w:rPr>
    </w:lvl>
    <w:lvl w:ilvl="5" w:tplc="04160005" w:tentative="1">
      <w:start w:val="1"/>
      <w:numFmt w:val="bullet"/>
      <w:lvlText w:val=""/>
      <w:lvlJc w:val="left"/>
      <w:pPr>
        <w:ind w:left="3958" w:hanging="360"/>
      </w:pPr>
      <w:rPr>
        <w:rFonts w:ascii="Wingdings" w:hAnsi="Wingdings" w:hint="default"/>
      </w:rPr>
    </w:lvl>
    <w:lvl w:ilvl="6" w:tplc="04160001" w:tentative="1">
      <w:start w:val="1"/>
      <w:numFmt w:val="bullet"/>
      <w:lvlText w:val=""/>
      <w:lvlJc w:val="left"/>
      <w:pPr>
        <w:ind w:left="4678" w:hanging="360"/>
      </w:pPr>
      <w:rPr>
        <w:rFonts w:ascii="Symbol" w:hAnsi="Symbol" w:hint="default"/>
      </w:rPr>
    </w:lvl>
    <w:lvl w:ilvl="7" w:tplc="04160003" w:tentative="1">
      <w:start w:val="1"/>
      <w:numFmt w:val="bullet"/>
      <w:lvlText w:val="o"/>
      <w:lvlJc w:val="left"/>
      <w:pPr>
        <w:ind w:left="5398" w:hanging="360"/>
      </w:pPr>
      <w:rPr>
        <w:rFonts w:ascii="Courier New" w:hAnsi="Courier New" w:cs="Courier New" w:hint="default"/>
      </w:rPr>
    </w:lvl>
    <w:lvl w:ilvl="8" w:tplc="04160005" w:tentative="1">
      <w:start w:val="1"/>
      <w:numFmt w:val="bullet"/>
      <w:lvlText w:val=""/>
      <w:lvlJc w:val="left"/>
      <w:pPr>
        <w:ind w:left="6118" w:hanging="360"/>
      </w:pPr>
      <w:rPr>
        <w:rFonts w:ascii="Wingdings" w:hAnsi="Wingdings" w:hint="default"/>
      </w:rPr>
    </w:lvl>
  </w:abstractNum>
  <w:abstractNum w:abstractNumId="3" w15:restartNumberingAfterBreak="0">
    <w:nsid w:val="5B7843B3"/>
    <w:multiLevelType w:val="multilevel"/>
    <w:tmpl w:val="BB8A552E"/>
    <w:lvl w:ilvl="0">
      <w:start w:val="1"/>
      <w:numFmt w:val="decimal"/>
      <w:pStyle w:val="Captul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5BD2231"/>
    <w:multiLevelType w:val="hybridMultilevel"/>
    <w:tmpl w:val="778E16CC"/>
    <w:lvl w:ilvl="0" w:tplc="3BAECE50">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014"/>
    <w:rsid w:val="00044453"/>
    <w:rsid w:val="00062122"/>
    <w:rsid w:val="00075684"/>
    <w:rsid w:val="000A1AF5"/>
    <w:rsid w:val="000A7141"/>
    <w:rsid w:val="000B32B3"/>
    <w:rsid w:val="000B6D12"/>
    <w:rsid w:val="000D6079"/>
    <w:rsid w:val="000F6910"/>
    <w:rsid w:val="00106E9C"/>
    <w:rsid w:val="00126F2A"/>
    <w:rsid w:val="00131CE7"/>
    <w:rsid w:val="00132104"/>
    <w:rsid w:val="00133059"/>
    <w:rsid w:val="001361F7"/>
    <w:rsid w:val="00142A83"/>
    <w:rsid w:val="0017168D"/>
    <w:rsid w:val="001719E8"/>
    <w:rsid w:val="00173ABD"/>
    <w:rsid w:val="0017542A"/>
    <w:rsid w:val="00186DD9"/>
    <w:rsid w:val="00191EBE"/>
    <w:rsid w:val="001A2094"/>
    <w:rsid w:val="001C2043"/>
    <w:rsid w:val="001C337C"/>
    <w:rsid w:val="001C348A"/>
    <w:rsid w:val="001C6504"/>
    <w:rsid w:val="001F2219"/>
    <w:rsid w:val="002333DA"/>
    <w:rsid w:val="00241FDF"/>
    <w:rsid w:val="00245CB4"/>
    <w:rsid w:val="00292819"/>
    <w:rsid w:val="002A18CD"/>
    <w:rsid w:val="002D5B1D"/>
    <w:rsid w:val="002E43F0"/>
    <w:rsid w:val="00300E37"/>
    <w:rsid w:val="003053EB"/>
    <w:rsid w:val="00307BD3"/>
    <w:rsid w:val="00322A57"/>
    <w:rsid w:val="00331E7C"/>
    <w:rsid w:val="003562DA"/>
    <w:rsid w:val="00371805"/>
    <w:rsid w:val="003732D7"/>
    <w:rsid w:val="003810D7"/>
    <w:rsid w:val="003B59F8"/>
    <w:rsid w:val="003C17BE"/>
    <w:rsid w:val="003C5F49"/>
    <w:rsid w:val="003F03C7"/>
    <w:rsid w:val="00410BA9"/>
    <w:rsid w:val="004242CD"/>
    <w:rsid w:val="00442282"/>
    <w:rsid w:val="004462BD"/>
    <w:rsid w:val="0045016A"/>
    <w:rsid w:val="004548A5"/>
    <w:rsid w:val="00475083"/>
    <w:rsid w:val="00475BF7"/>
    <w:rsid w:val="004927B7"/>
    <w:rsid w:val="004B4F07"/>
    <w:rsid w:val="004F00D1"/>
    <w:rsid w:val="004F092B"/>
    <w:rsid w:val="0050117B"/>
    <w:rsid w:val="00504FC2"/>
    <w:rsid w:val="00551056"/>
    <w:rsid w:val="00555678"/>
    <w:rsid w:val="00565D35"/>
    <w:rsid w:val="0057350B"/>
    <w:rsid w:val="005769C7"/>
    <w:rsid w:val="00580020"/>
    <w:rsid w:val="00580F35"/>
    <w:rsid w:val="00582D04"/>
    <w:rsid w:val="005834B7"/>
    <w:rsid w:val="00594933"/>
    <w:rsid w:val="005B6BA9"/>
    <w:rsid w:val="005C0E10"/>
    <w:rsid w:val="005C1A76"/>
    <w:rsid w:val="005C3C17"/>
    <w:rsid w:val="005F3D0C"/>
    <w:rsid w:val="005F3F80"/>
    <w:rsid w:val="006127D5"/>
    <w:rsid w:val="00614627"/>
    <w:rsid w:val="00624974"/>
    <w:rsid w:val="00650EE9"/>
    <w:rsid w:val="00655DEE"/>
    <w:rsid w:val="006672D6"/>
    <w:rsid w:val="00676E3B"/>
    <w:rsid w:val="006874D2"/>
    <w:rsid w:val="006A6585"/>
    <w:rsid w:val="006B7531"/>
    <w:rsid w:val="006C15BB"/>
    <w:rsid w:val="006D6C47"/>
    <w:rsid w:val="006E2B6A"/>
    <w:rsid w:val="007017CF"/>
    <w:rsid w:val="00712B8F"/>
    <w:rsid w:val="00713755"/>
    <w:rsid w:val="0071567D"/>
    <w:rsid w:val="0071600C"/>
    <w:rsid w:val="0073196C"/>
    <w:rsid w:val="00742DBE"/>
    <w:rsid w:val="007430A5"/>
    <w:rsid w:val="00760262"/>
    <w:rsid w:val="00760DBD"/>
    <w:rsid w:val="00762D69"/>
    <w:rsid w:val="007660C9"/>
    <w:rsid w:val="0078155E"/>
    <w:rsid w:val="00784106"/>
    <w:rsid w:val="007922A5"/>
    <w:rsid w:val="007A45F3"/>
    <w:rsid w:val="007B39AF"/>
    <w:rsid w:val="007B4478"/>
    <w:rsid w:val="007C3F48"/>
    <w:rsid w:val="007D37C4"/>
    <w:rsid w:val="007E6F55"/>
    <w:rsid w:val="00813479"/>
    <w:rsid w:val="008573F6"/>
    <w:rsid w:val="00872917"/>
    <w:rsid w:val="00892FAF"/>
    <w:rsid w:val="008D5FC6"/>
    <w:rsid w:val="008F2FD3"/>
    <w:rsid w:val="008F3961"/>
    <w:rsid w:val="00902BCB"/>
    <w:rsid w:val="00931A69"/>
    <w:rsid w:val="009375D4"/>
    <w:rsid w:val="00942F5F"/>
    <w:rsid w:val="00944F70"/>
    <w:rsid w:val="00947012"/>
    <w:rsid w:val="0095690D"/>
    <w:rsid w:val="00973D2B"/>
    <w:rsid w:val="00973DB2"/>
    <w:rsid w:val="0097551B"/>
    <w:rsid w:val="009800F2"/>
    <w:rsid w:val="009875C9"/>
    <w:rsid w:val="009A1D65"/>
    <w:rsid w:val="009B6F0F"/>
    <w:rsid w:val="009D0413"/>
    <w:rsid w:val="009D34D9"/>
    <w:rsid w:val="009D7248"/>
    <w:rsid w:val="009F2F48"/>
    <w:rsid w:val="00A179E7"/>
    <w:rsid w:val="00A424E6"/>
    <w:rsid w:val="00A6111D"/>
    <w:rsid w:val="00A7556B"/>
    <w:rsid w:val="00A84137"/>
    <w:rsid w:val="00A865E3"/>
    <w:rsid w:val="00A92EFA"/>
    <w:rsid w:val="00AA2E49"/>
    <w:rsid w:val="00AA4872"/>
    <w:rsid w:val="00AC5FBD"/>
    <w:rsid w:val="00AD18A4"/>
    <w:rsid w:val="00AD204C"/>
    <w:rsid w:val="00AD34EB"/>
    <w:rsid w:val="00AD4B64"/>
    <w:rsid w:val="00AF578F"/>
    <w:rsid w:val="00B10F5F"/>
    <w:rsid w:val="00B131CA"/>
    <w:rsid w:val="00B31059"/>
    <w:rsid w:val="00B3460F"/>
    <w:rsid w:val="00B34628"/>
    <w:rsid w:val="00B44014"/>
    <w:rsid w:val="00B6548A"/>
    <w:rsid w:val="00BA5DAA"/>
    <w:rsid w:val="00BB6B9F"/>
    <w:rsid w:val="00BB7702"/>
    <w:rsid w:val="00BD773F"/>
    <w:rsid w:val="00BE1FA0"/>
    <w:rsid w:val="00BF122F"/>
    <w:rsid w:val="00C25319"/>
    <w:rsid w:val="00C52538"/>
    <w:rsid w:val="00C7461E"/>
    <w:rsid w:val="00C74C53"/>
    <w:rsid w:val="00C86008"/>
    <w:rsid w:val="00C8642F"/>
    <w:rsid w:val="00C87D02"/>
    <w:rsid w:val="00C95575"/>
    <w:rsid w:val="00C97FC9"/>
    <w:rsid w:val="00CB18D2"/>
    <w:rsid w:val="00CC6BDE"/>
    <w:rsid w:val="00CD1C2A"/>
    <w:rsid w:val="00D336C2"/>
    <w:rsid w:val="00D40D93"/>
    <w:rsid w:val="00D736EB"/>
    <w:rsid w:val="00D75BA5"/>
    <w:rsid w:val="00D77206"/>
    <w:rsid w:val="00DA6423"/>
    <w:rsid w:val="00DE2401"/>
    <w:rsid w:val="00DE6C2D"/>
    <w:rsid w:val="00DE7723"/>
    <w:rsid w:val="00DF3C64"/>
    <w:rsid w:val="00E00FCA"/>
    <w:rsid w:val="00E270F9"/>
    <w:rsid w:val="00E5161F"/>
    <w:rsid w:val="00E51B65"/>
    <w:rsid w:val="00E639BA"/>
    <w:rsid w:val="00E84493"/>
    <w:rsid w:val="00E92F3F"/>
    <w:rsid w:val="00E9574C"/>
    <w:rsid w:val="00EC4A3F"/>
    <w:rsid w:val="00F106D9"/>
    <w:rsid w:val="00F318C9"/>
    <w:rsid w:val="00F3316C"/>
    <w:rsid w:val="00F6154D"/>
    <w:rsid w:val="00F755AF"/>
    <w:rsid w:val="00F8278F"/>
    <w:rsid w:val="00F90C59"/>
    <w:rsid w:val="00F9208F"/>
    <w:rsid w:val="00F95759"/>
    <w:rsid w:val="00FA5F11"/>
    <w:rsid w:val="00FB29AD"/>
    <w:rsid w:val="00FB4640"/>
    <w:rsid w:val="00FB67D2"/>
    <w:rsid w:val="00FB6BD8"/>
    <w:rsid w:val="00FC12F9"/>
    <w:rsid w:val="00FC5EF6"/>
    <w:rsid w:val="00FC7FDA"/>
    <w:rsid w:val="00FD38E6"/>
    <w:rsid w:val="00FF1BA2"/>
    <w:rsid w:val="00FF44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6A6C9D"/>
  <w15:docId w15:val="{BB6A4918-6C90-4DD7-A51A-58279BD9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pPr>
      <w:keepNext/>
    </w:pPr>
    <w:rPr>
      <w:rFonts w:ascii="Arial" w:hAnsi="Arial"/>
      <w:b/>
      <w:sz w:val="24"/>
    </w:rPr>
  </w:style>
  <w:style w:type="paragraph" w:styleId="Ttulo2">
    <w:name w:val="heading 2"/>
    <w:basedOn w:val="Normal"/>
    <w:next w:val="Normal"/>
    <w:pPr>
      <w:keepNext/>
      <w:outlineLvl w:val="1"/>
    </w:pPr>
    <w:rPr>
      <w:rFonts w:ascii="Arial" w:hAnsi="Arial"/>
      <w:b/>
      <w:sz w:val="22"/>
    </w:rPr>
  </w:style>
  <w:style w:type="paragraph" w:styleId="Ttulo3">
    <w:name w:val="heading 3"/>
    <w:basedOn w:val="Normal"/>
    <w:next w:val="Normal"/>
    <w:qFormat/>
    <w:pPr>
      <w:keepNext/>
      <w:spacing w:before="240" w:after="60"/>
      <w:outlineLvl w:val="2"/>
    </w:pPr>
    <w:rPr>
      <w:rFonts w:ascii="Cambria" w:hAnsi="Cambria"/>
      <w:b/>
      <w:bCs/>
      <w:sz w:val="26"/>
      <w:szCs w:val="26"/>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customStyle="1" w:styleId="CaracteresdeNotadeRodap">
    <w:name w:val="Caracteres de Nota de Rodapé"/>
    <w:rPr>
      <w:w w:val="100"/>
      <w:position w:val="-1"/>
      <w:effect w:val="none"/>
      <w:vertAlign w:val="baseline"/>
      <w:cs w:val="0"/>
      <w:em w:val="none"/>
    </w:rPr>
  </w:style>
  <w:style w:type="paragraph" w:styleId="Corpodetexto">
    <w:name w:val="Body Text"/>
    <w:basedOn w:val="Normal"/>
    <w:pPr>
      <w:spacing w:after="120" w:line="300" w:lineRule="atLeast"/>
      <w:jc w:val="both"/>
    </w:pPr>
    <w:rPr>
      <w:rFonts w:ascii="Arial" w:hAnsi="Arial"/>
      <w:sz w:val="22"/>
    </w:rPr>
  </w:style>
  <w:style w:type="paragraph" w:styleId="Textodenotaderodap">
    <w:name w:val="footnote text"/>
    <w:basedOn w:val="Normal"/>
    <w:uiPriority w:val="99"/>
  </w:style>
  <w:style w:type="character" w:styleId="Refdenotaderodap">
    <w:name w:val="footnote reference"/>
    <w:uiPriority w:val="99"/>
    <w:rPr>
      <w:w w:val="100"/>
      <w:position w:val="-1"/>
      <w:effect w:val="none"/>
      <w:vertAlign w:val="superscript"/>
      <w:cs w:val="0"/>
      <w:em w:val="none"/>
    </w:rPr>
  </w:style>
  <w:style w:type="paragraph" w:customStyle="1" w:styleId="WW-Corpodetexto2">
    <w:name w:val="WW-Corpo de texto 2"/>
    <w:basedOn w:val="Normal"/>
    <w:pPr>
      <w:widowControl w:val="0"/>
      <w:tabs>
        <w:tab w:val="left" w:pos="1418"/>
      </w:tabs>
      <w:suppressAutoHyphens w:val="0"/>
      <w:spacing w:after="220"/>
      <w:jc w:val="both"/>
    </w:pPr>
    <w:rPr>
      <w:rFonts w:ascii="Arial" w:eastAsia="Arial Unicode MS" w:hAnsi="Arial"/>
      <w:sz w:val="22"/>
      <w:szCs w:val="24"/>
    </w:rPr>
  </w:style>
  <w:style w:type="paragraph" w:customStyle="1" w:styleId="Corpodetexto21">
    <w:name w:val="Corpo de texto 21"/>
    <w:basedOn w:val="Normal"/>
    <w:pPr>
      <w:widowControl w:val="0"/>
      <w:tabs>
        <w:tab w:val="left" w:pos="1418"/>
      </w:tabs>
      <w:suppressAutoHyphens w:val="0"/>
      <w:spacing w:after="170"/>
      <w:jc w:val="both"/>
    </w:pPr>
    <w:rPr>
      <w:rFonts w:ascii="Arial" w:eastAsia="Arial Unicode MS" w:hAnsi="Arial"/>
      <w:sz w:val="24"/>
      <w:szCs w:val="24"/>
    </w:rPr>
  </w:style>
  <w:style w:type="paragraph" w:styleId="Recuodecorpodetexto2">
    <w:name w:val="Body Text Indent 2"/>
    <w:basedOn w:val="Normal"/>
    <w:pPr>
      <w:spacing w:after="120" w:line="480" w:lineRule="auto"/>
      <w:ind w:left="283"/>
    </w:pPr>
  </w:style>
  <w:style w:type="paragraph" w:styleId="Recuodecorpodetexto">
    <w:name w:val="Body Text Indent"/>
    <w:basedOn w:val="Normal"/>
    <w:pPr>
      <w:spacing w:after="120"/>
      <w:ind w:left="283"/>
    </w:pPr>
  </w:style>
  <w:style w:type="paragraph" w:customStyle="1" w:styleId="WW-ndice">
    <w:name w:val="WW-Índice"/>
    <w:basedOn w:val="Normal"/>
    <w:pPr>
      <w:suppressLineNumbers/>
      <w:suppressAutoHyphens w:val="0"/>
    </w:pPr>
  </w:style>
  <w:style w:type="paragraph" w:styleId="Corpodetexto3">
    <w:name w:val="Body Text 3"/>
    <w:basedOn w:val="Normal"/>
    <w:qFormat/>
    <w:pPr>
      <w:spacing w:after="120"/>
    </w:pPr>
    <w:rPr>
      <w:sz w:val="16"/>
      <w:szCs w:val="16"/>
    </w:rPr>
  </w:style>
  <w:style w:type="character" w:customStyle="1" w:styleId="Corpodetexto3Char">
    <w:name w:val="Corpo de texto 3 Char"/>
    <w:rPr>
      <w:w w:val="100"/>
      <w:position w:val="-1"/>
      <w:sz w:val="16"/>
      <w:szCs w:val="16"/>
      <w:effect w:val="none"/>
      <w:vertAlign w:val="baseline"/>
      <w:cs w:val="0"/>
      <w:em w:val="none"/>
    </w:rPr>
  </w:style>
  <w:style w:type="paragraph" w:styleId="Textodebalo">
    <w:name w:val="Balloon Text"/>
    <w:basedOn w:val="Normal"/>
    <w:qFormat/>
    <w:rPr>
      <w:rFonts w:ascii="Tahoma" w:hAnsi="Tahoma" w:cs="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character" w:customStyle="1" w:styleId="CorpodetextoChar">
    <w:name w:val="Corpo de texto Char"/>
    <w:rPr>
      <w:rFonts w:ascii="Arial" w:hAnsi="Arial"/>
      <w:w w:val="100"/>
      <w:position w:val="-1"/>
      <w:sz w:val="22"/>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w w:val="100"/>
      <w:position w:val="-1"/>
      <w:u w:val="single"/>
      <w:effect w:val="none"/>
      <w:vertAlign w:val="baseline"/>
      <w:cs w:val="0"/>
      <w:em w:val="none"/>
    </w:rPr>
  </w:style>
  <w:style w:type="character" w:customStyle="1" w:styleId="Ttulo3Char">
    <w:name w:val="Título 3 Char"/>
    <w:rPr>
      <w:rFonts w:ascii="Cambria" w:eastAsia="Times New Roman" w:hAnsi="Cambria" w:cs="Times New Roman"/>
      <w:b/>
      <w:bCs/>
      <w:w w:val="100"/>
      <w:position w:val="-1"/>
      <w:sz w:val="26"/>
      <w:szCs w:val="26"/>
      <w:effect w:val="none"/>
      <w:vertAlign w:val="baseline"/>
      <w:cs w:val="0"/>
      <w:em w:val="none"/>
    </w:rPr>
  </w:style>
  <w:style w:type="paragraph" w:styleId="Textodenotadefim">
    <w:name w:val="endnote text"/>
    <w:basedOn w:val="Normal"/>
    <w:qFormat/>
  </w:style>
  <w:style w:type="character" w:customStyle="1" w:styleId="TextodenotadefimChar">
    <w:name w:val="Texto de nota de fim Char"/>
    <w:basedOn w:val="Fontepargpadro"/>
    <w:rPr>
      <w:w w:val="100"/>
      <w:position w:val="-1"/>
      <w:effect w:val="none"/>
      <w:vertAlign w:val="baseline"/>
      <w:cs w:val="0"/>
      <w:em w:val="none"/>
    </w:rPr>
  </w:style>
  <w:style w:type="character" w:styleId="Refdenotadefim">
    <w:name w:val="endnote reference"/>
    <w:qFormat/>
    <w:rPr>
      <w:w w:val="100"/>
      <w:position w:val="-1"/>
      <w:effect w:val="none"/>
      <w:vertAlign w:val="superscript"/>
      <w:cs w:val="0"/>
      <w:em w:val="none"/>
    </w:rPr>
  </w:style>
  <w:style w:type="character" w:styleId="HiperlinkVisitado">
    <w:name w:val="FollowedHyperlink"/>
    <w:qFormat/>
    <w:rPr>
      <w:color w:val="800080"/>
      <w:w w:val="100"/>
      <w:position w:val="-1"/>
      <w:u w:val="single"/>
      <w:effect w:val="none"/>
      <w:vertAlign w:val="baseline"/>
      <w:cs w:val="0"/>
      <w:em w:val="none"/>
    </w:rPr>
  </w:style>
  <w:style w:type="paragraph" w:customStyle="1" w:styleId="TextoNumerado">
    <w:name w:val="Texto Numerado"/>
    <w:basedOn w:val="Normal"/>
    <w:pPr>
      <w:numPr>
        <w:numId w:val="1"/>
      </w:numPr>
      <w:spacing w:before="120" w:after="120"/>
      <w:ind w:left="-1" w:hanging="1"/>
      <w:jc w:val="both"/>
    </w:pPr>
    <w:rPr>
      <w:rFonts w:ascii="Arial" w:hAnsi="Arial"/>
      <w:sz w:val="24"/>
    </w:rPr>
  </w:style>
  <w:style w:type="paragraph" w:customStyle="1" w:styleId="Sub-Titulo2">
    <w:name w:val="Sub-Titulo 2"/>
    <w:basedOn w:val="Normal"/>
    <w:next w:val="Normal"/>
    <w:pPr>
      <w:tabs>
        <w:tab w:val="num" w:pos="454"/>
        <w:tab w:val="left" w:pos="737"/>
        <w:tab w:val="left" w:pos="907"/>
      </w:tabs>
      <w:spacing w:before="120" w:after="120"/>
      <w:jc w:val="both"/>
    </w:pPr>
    <w:rPr>
      <w:rFonts w:ascii="Arial" w:hAnsi="Arial" w:cs="Arial"/>
      <w:b/>
      <w:sz w:val="24"/>
      <w:szCs w:val="28"/>
    </w:rPr>
  </w:style>
  <w:style w:type="paragraph" w:customStyle="1" w:styleId="Texto">
    <w:name w:val="Texto"/>
    <w:basedOn w:val="Normal"/>
    <w:pPr>
      <w:spacing w:before="120" w:after="120"/>
      <w:ind w:firstLine="1701"/>
      <w:jc w:val="both"/>
    </w:pPr>
    <w:rPr>
      <w:rFonts w:ascii="Arial" w:hAnsi="Arial" w:cs="Arial"/>
      <w:sz w:val="24"/>
      <w:szCs w:val="24"/>
    </w:rPr>
  </w:style>
  <w:style w:type="paragraph" w:styleId="PargrafodaLista">
    <w:name w:val="List Paragraph"/>
    <w:basedOn w:val="Normal"/>
    <w:pPr>
      <w:spacing w:before="120" w:after="120"/>
      <w:ind w:left="720"/>
      <w:contextualSpacing/>
    </w:pPr>
    <w:rPr>
      <w:rFonts w:ascii="Arial" w:hAnsi="Arial"/>
      <w:sz w:val="24"/>
    </w:rPr>
  </w:style>
  <w:style w:type="character" w:styleId="Nmerodelinha">
    <w:name w:val="line number"/>
    <w:basedOn w:val="Fontepargpadro"/>
    <w:qFormat/>
    <w:rPr>
      <w:w w:val="100"/>
      <w:position w:val="-1"/>
      <w:effect w:val="none"/>
      <w:vertAlign w:val="baseline"/>
      <w:cs w:val="0"/>
      <w:em w:val="none"/>
    </w:rPr>
  </w:style>
  <w:style w:type="paragraph" w:customStyle="1" w:styleId="Captulo">
    <w:name w:val="Capítulo"/>
    <w:basedOn w:val="Normal"/>
    <w:pPr>
      <w:widowControl w:val="0"/>
      <w:numPr>
        <w:numId w:val="2"/>
      </w:numPr>
      <w:spacing w:before="240" w:after="240"/>
      <w:ind w:left="-1" w:hanging="1"/>
      <w:jc w:val="both"/>
    </w:pPr>
    <w:rPr>
      <w:rFonts w:ascii="Arial" w:hAnsi="Arial" w:cs="Arial"/>
      <w:b/>
      <w:caps/>
      <w:sz w:val="24"/>
      <w:szCs w:val="26"/>
    </w:rPr>
  </w:style>
  <w:style w:type="character" w:customStyle="1" w:styleId="TextodenotaderodapChar">
    <w:name w:val="Texto de nota de rodapé Char"/>
    <w:uiPriority w:val="99"/>
    <w:qFormat/>
    <w:rPr>
      <w:w w:val="100"/>
      <w:position w:val="-1"/>
      <w:effect w:val="none"/>
      <w:vertAlign w:val="baseline"/>
      <w:cs w:val="0"/>
      <w:em w:val="none"/>
    </w:rPr>
  </w:style>
  <w:style w:type="character" w:customStyle="1" w:styleId="RodapChar">
    <w:name w:val="Rodapé Char"/>
    <w:rPr>
      <w:rFonts w:ascii="Thorndale" w:eastAsia="HG Mincho Light J" w:hAnsi="Thorndale"/>
      <w:color w:val="000000"/>
      <w:w w:val="100"/>
      <w:position w:val="-1"/>
      <w:sz w:val="24"/>
      <w:szCs w:val="24"/>
      <w:effect w:val="none"/>
      <w:vertAlign w:val="baseline"/>
      <w:cs w:val="0"/>
      <w:em w:val="none"/>
    </w:rPr>
  </w:style>
  <w:style w:type="character" w:customStyle="1" w:styleId="CabealhoChar">
    <w:name w:val="Cabeçalho Char"/>
    <w:rPr>
      <w:w w:val="100"/>
      <w:position w:val="-1"/>
      <w:effect w:val="none"/>
      <w:vertAlign w:val="baseline"/>
      <w:cs w:val="0"/>
      <w:em w:val="none"/>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style>
  <w:style w:type="character" w:customStyle="1" w:styleId="TextodecomentrioChar">
    <w:name w:val="Texto de comentário Char"/>
    <w:basedOn w:val="Fontepargpadro"/>
    <w:rPr>
      <w:w w:val="100"/>
      <w:position w:val="-1"/>
      <w:effect w:val="none"/>
      <w:vertAlign w:val="baseline"/>
      <w:cs w:val="0"/>
      <w:em w:val="none"/>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GuoPoKFXDU0tLfsFTuGJIbEfbA==">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268310-EE09-4585-81CB-4D334391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2293</Words>
  <Characters>12386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14650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p_6505</dc:creator>
  <cp:lastModifiedBy>Erica Maria Paulino Paiva</cp:lastModifiedBy>
  <cp:revision>2</cp:revision>
  <dcterms:created xsi:type="dcterms:W3CDTF">2024-08-02T14:48:00Z</dcterms:created>
  <dcterms:modified xsi:type="dcterms:W3CDTF">2024-08-02T14:48:00Z</dcterms:modified>
</cp:coreProperties>
</file>