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7E" w:rsidRPr="005D6A0A" w:rsidRDefault="00104A7E" w:rsidP="00104A7E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b/>
          <w:color w:val="44546A" w:themeColor="dark2"/>
          <w:sz w:val="24"/>
        </w:rPr>
        <w:t>Seção V</w:t>
      </w:r>
    </w:p>
    <w:p w:rsidR="00104A7E" w:rsidRPr="005D6A0A" w:rsidRDefault="00104A7E" w:rsidP="00104A7E">
      <w:pPr>
        <w:jc w:val="center"/>
        <w:rPr>
          <w:rFonts w:ascii="Times New Roman" w:hAnsi="Times New Roman" w:cs="Times New Roman"/>
          <w:b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b/>
          <w:color w:val="44546A" w:themeColor="dark2"/>
          <w:sz w:val="24"/>
        </w:rPr>
        <w:t>Dos Deputados e dos Senadores</w:t>
      </w:r>
    </w:p>
    <w:p w:rsidR="00104A7E" w:rsidRPr="005D6A0A" w:rsidRDefault="00104A7E" w:rsidP="00104A7E">
      <w:pPr>
        <w:jc w:val="center"/>
        <w:rPr>
          <w:rFonts w:ascii="Times New Roman" w:hAnsi="Times New Roman" w:cs="Times New Roman"/>
          <w:color w:val="44546A" w:themeColor="dark2"/>
          <w:sz w:val="24"/>
        </w:rPr>
      </w:pP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b/>
          <w:color w:val="44546A" w:themeColor="dark2"/>
          <w:sz w:val="24"/>
        </w:rPr>
        <w:t>Art. 53.</w:t>
      </w: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 Os Deputados e Senadores são invioláveis, civil e penalmente, por quaisquer de suas opiniões, palavras e votos. </w:t>
      </w:r>
      <w:hyperlink r:id="rId4" w:history="1">
        <w:r w:rsidRPr="005D6A0A">
          <w:rPr>
            <w:rStyle w:val="Hyperlink"/>
            <w:rFonts w:ascii="Times New Roman" w:hAnsi="Times New Roman" w:cs="Times New Roman"/>
            <w:i/>
          </w:rPr>
          <w:t>(Caput do artigo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1º Os Deputados e Senadores, desde a expedição do diploma, serão submetidos a julgamento perante o Supremo Tribunal Federal. </w:t>
      </w:r>
      <w:hyperlink r:id="rId5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2º Desde a expedição do diploma, os membros do Congresso Nacional não poderão ser presos, salvo em flagrante de crime inafiançável. Nesse caso, os autos serão remetidos dentro de vinte e quatro horas à Casa respectiva, para que, pelo voto da maioria de seus membros, resolva sobre a prisão. </w:t>
      </w:r>
      <w:hyperlink r:id="rId6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3º Recebida a denúncia contra o Senador ou Deputado, por crime ocorrido após a diplomação, o Supremo Tribunal Federal dará ciência à Casa respectiva, que, por iniciativa de partido político nela representado e pelo voto da maioria de seus membros, poderá, até a decisão final, sustar o andamento da ação. </w:t>
      </w:r>
      <w:hyperlink r:id="rId7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4º O pedido de sustação será apreciado pela Casa respectiva no prazo improrrogável de quarenta e cinco dias do seu recebimento pela Mesa Diretora. </w:t>
      </w:r>
      <w:hyperlink r:id="rId8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5º A sustação do processo suspende a prescrição, enquanto durar o mandato. </w:t>
      </w:r>
      <w:hyperlink r:id="rId9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6º Os Deputados e Senadores não serão obrigados a testemunhar sobre informações recebidas ou prestadas em razão do exercício do mandato, nem sobre as pessoas que lhes confiaram ou deles receberam informações. </w:t>
      </w:r>
      <w:hyperlink r:id="rId10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7º A incorporação às Forças Armadas de Deputados e Senadores, embora militares e ainda que em tempo de guerra, dependerá de prévia licença da Casa respectiva. </w:t>
      </w:r>
      <w:hyperlink r:id="rId11" w:history="1">
        <w:r w:rsidRPr="005D6A0A">
          <w:rPr>
            <w:rStyle w:val="Hyperlink"/>
            <w:rFonts w:ascii="Times New Roman" w:hAnsi="Times New Roman" w:cs="Times New Roman"/>
            <w:i/>
          </w:rPr>
          <w:t>(Parágrafo com redação dada pela EC nº 35, de 2001)</w:t>
        </w:r>
      </w:hyperlink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§ 8º As imunidades de Deputados ou Senadores subsistirão durante o estado de sítio, só podendo ser suspensas mediante o voto de dois terços dos membros da Casa respectiva, nos casos de atos praticados fora do recinto do Congresso Nacional, que sejam incompatíveis com a execução da medida. </w:t>
      </w:r>
      <w:hyperlink r:id="rId12" w:history="1">
        <w:r w:rsidRPr="005D6A0A">
          <w:rPr>
            <w:rStyle w:val="Hyperlink"/>
            <w:rFonts w:ascii="Times New Roman" w:hAnsi="Times New Roman" w:cs="Times New Roman"/>
            <w:i/>
          </w:rPr>
          <w:t>(Parágrafo acrescido pela EC nº 35, de 2001)</w:t>
        </w:r>
      </w:hyperlink>
      <w:bookmarkStart w:id="0" w:name="_GoBack"/>
      <w:bookmarkEnd w:id="0"/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b/>
          <w:color w:val="44546A" w:themeColor="dark2"/>
          <w:sz w:val="24"/>
        </w:rPr>
      </w:pP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b/>
          <w:color w:val="44546A" w:themeColor="dark2"/>
          <w:sz w:val="24"/>
        </w:rPr>
        <w:t>Art. 54.</w:t>
      </w:r>
      <w:r w:rsidRPr="005D6A0A">
        <w:rPr>
          <w:rFonts w:ascii="Times New Roman" w:hAnsi="Times New Roman" w:cs="Times New Roman"/>
          <w:color w:val="44546A" w:themeColor="dark2"/>
          <w:sz w:val="24"/>
        </w:rPr>
        <w:t xml:space="preserve"> Os Deputados e Senadores não poderão: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I – desde a expedição do diploma: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a) firmar ou manter contrato com pessoa jurídica de direito público, autarquia, empresa pública, sociedade de economia mista ou empresa concessionária de serviço público, salvo quando o contrato obedecer a cláusulas uniformes;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b) aceitar ou exercer cargo, função ou emprego remunerado, inclusive os de que sejam demissíveis ad nutum, nas entidades constantes da alínea anterior;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II – desde a posse: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a) ser proprietários, controladores ou diretores de empresa que goze de favor decorrente de contrato com pessoa jurídica de direito público, ou nela exercer função remunerada;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b) ocupar cargo ou função de que sejam demissíveis ad nutum, nas entidades referidas no inciso I, a;</w:t>
      </w:r>
    </w:p>
    <w:p w:rsidR="00104A7E" w:rsidRPr="005D6A0A" w:rsidRDefault="00104A7E" w:rsidP="005D6A0A">
      <w:pPr>
        <w:ind w:firstLine="1134"/>
        <w:jc w:val="both"/>
        <w:rPr>
          <w:rFonts w:ascii="Times New Roman" w:hAnsi="Times New Roman" w:cs="Times New Roman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c) patrocinar causa em que seja interessada qualquer das entidades a que se refere o inciso I, a;</w:t>
      </w:r>
    </w:p>
    <w:p w:rsidR="00104A7E" w:rsidRDefault="00104A7E" w:rsidP="005D6A0A">
      <w:pPr>
        <w:ind w:firstLine="1134"/>
        <w:jc w:val="both"/>
        <w:rPr>
          <w:rFonts w:ascii="Arial" w:hAnsi="Arial" w:cstheme="minorBidi"/>
          <w:color w:val="44546A" w:themeColor="dark2"/>
          <w:sz w:val="24"/>
        </w:rPr>
      </w:pPr>
      <w:r w:rsidRPr="005D6A0A">
        <w:rPr>
          <w:rFonts w:ascii="Times New Roman" w:hAnsi="Times New Roman" w:cs="Times New Roman"/>
          <w:color w:val="44546A" w:themeColor="dark2"/>
          <w:sz w:val="24"/>
        </w:rPr>
        <w:t>d) ser titulares de mais de um cargo ou mandato público eletivo.</w:t>
      </w:r>
    </w:p>
    <w:p w:rsidR="002E0B57" w:rsidRDefault="005D6A0A"/>
    <w:sectPr w:rsidR="002E0B57" w:rsidSect="005D6A0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E"/>
    <w:rsid w:val="00101EB1"/>
    <w:rsid w:val="00104A7E"/>
    <w:rsid w:val="00307F6A"/>
    <w:rsid w:val="0051407D"/>
    <w:rsid w:val="005978C6"/>
    <w:rsid w:val="005D6A0A"/>
    <w:rsid w:val="00695006"/>
    <w:rsid w:val="006A10C7"/>
    <w:rsid w:val="00A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DF43-9ADE-4EF8-9FBD-A0D2BED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7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mara.leg.br/legin/fed/emecon/2001/emendaconstitucional-35-20-dezembro-2001-429311-publicacaooriginal-1-pl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camara.leg.br/legin/fed/emecon/2001/emendaconstitucional-35-20-dezembro-2001-429311-publicacaooriginal-1-pl.html" TargetMode="External"/><Relationship Id="rId12" Type="http://schemas.openxmlformats.org/officeDocument/2006/relationships/hyperlink" Target="https://www2.camara.leg.br/legin/fed/emecon/2001/emendaconstitucional-35-20-dezembro-2001-429311-publicacaooriginal-1-p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camara.leg.br/legin/fed/emecon/2001/emendaconstitucional-35-20-dezembro-2001-429311-publicacaooriginal-1-pl.html" TargetMode="External"/><Relationship Id="rId11" Type="http://schemas.openxmlformats.org/officeDocument/2006/relationships/hyperlink" Target="https://www2.camara.leg.br/legin/fed/emecon/2001/emendaconstitucional-35-20-dezembro-2001-429311-publicacaooriginal-1-pl.html" TargetMode="External"/><Relationship Id="rId5" Type="http://schemas.openxmlformats.org/officeDocument/2006/relationships/hyperlink" Target="https://www2.camara.leg.br/legin/fed/emecon/2001/emendaconstitucional-35-20-dezembro-2001-429311-publicacaooriginal-1-pl.html" TargetMode="External"/><Relationship Id="rId10" Type="http://schemas.openxmlformats.org/officeDocument/2006/relationships/hyperlink" Target="https://www2.camara.leg.br/legin/fed/emecon/2001/emendaconstitucional-35-20-dezembro-2001-429311-publicacaooriginal-1-pl.html" TargetMode="External"/><Relationship Id="rId4" Type="http://schemas.openxmlformats.org/officeDocument/2006/relationships/hyperlink" Target="https://www2.camara.leg.br/legin/fed/emecon/2001/emendaconstitucional-35-20-dezembro-2001-429311-publicacaooriginal-1-pl.html" TargetMode="External"/><Relationship Id="rId9" Type="http://schemas.openxmlformats.org/officeDocument/2006/relationships/hyperlink" Target="https://www2.camara.leg.br/legin/fed/emecon/2001/emendaconstitucional-35-20-dezembro-2001-429311-publicacaooriginal-1-p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Sarkis Teixeira Bergo</dc:creator>
  <cp:keywords/>
  <dc:description/>
  <cp:lastModifiedBy>Simone Sarkis Teixeira Bergo</cp:lastModifiedBy>
  <cp:revision>2</cp:revision>
  <dcterms:created xsi:type="dcterms:W3CDTF">2022-09-21T21:26:00Z</dcterms:created>
  <dcterms:modified xsi:type="dcterms:W3CDTF">2022-09-21T21:31:00Z</dcterms:modified>
</cp:coreProperties>
</file>