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DC" w:rsidRDefault="00AA72DC" w:rsidP="00AA72DC">
      <w:pPr>
        <w:rPr>
          <w:rFonts w:ascii="Arial" w:hAnsi="Arial" w:cstheme="minorBidi"/>
          <w:color w:val="44546A" w:themeColor="dark2"/>
          <w:sz w:val="24"/>
        </w:rPr>
      </w:pPr>
    </w:p>
    <w:p w:rsidR="00AA72DC" w:rsidRPr="00AA72DC" w:rsidRDefault="00AA72DC" w:rsidP="00AA72DC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b/>
          <w:color w:val="44546A" w:themeColor="dark2"/>
          <w:sz w:val="24"/>
        </w:rPr>
        <w:t>Seção III</w:t>
      </w:r>
    </w:p>
    <w:p w:rsidR="00AA72DC" w:rsidRPr="00AA72DC" w:rsidRDefault="00AA72DC" w:rsidP="00AA72DC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b/>
          <w:color w:val="44546A" w:themeColor="dark2"/>
          <w:sz w:val="24"/>
        </w:rPr>
        <w:t>Da Câmara dos Deputados</w:t>
      </w:r>
    </w:p>
    <w:p w:rsidR="00AA72DC" w:rsidRPr="00AA72DC" w:rsidRDefault="00AA72DC" w:rsidP="00AA72DC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b/>
          <w:color w:val="44546A" w:themeColor="dark2"/>
          <w:sz w:val="24"/>
        </w:rPr>
        <w:t>Art. 51.</w:t>
      </w:r>
      <w:r w:rsidRPr="00AA72DC">
        <w:rPr>
          <w:rFonts w:ascii="Times New Roman" w:hAnsi="Times New Roman" w:cs="Times New Roman"/>
          <w:color w:val="44546A" w:themeColor="dark2"/>
          <w:sz w:val="24"/>
        </w:rPr>
        <w:t xml:space="preserve"> Compete privativamente à Câmara dos Deputados:</w:t>
      </w:r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color w:val="44546A" w:themeColor="dark2"/>
          <w:sz w:val="24"/>
        </w:rPr>
        <w:t>I – autorizar, por dois terços de seus mem</w:t>
      </w:r>
      <w:r w:rsidRPr="00AA72DC">
        <w:rPr>
          <w:rFonts w:ascii="Times New Roman" w:hAnsi="Times New Roman" w:cs="Times New Roman"/>
          <w:color w:val="44546A" w:themeColor="dark2"/>
          <w:sz w:val="24"/>
        </w:rPr>
        <w:t>bros, a instauração de processo c</w:t>
      </w:r>
      <w:r w:rsidRPr="00AA72DC">
        <w:rPr>
          <w:rFonts w:ascii="Times New Roman" w:hAnsi="Times New Roman" w:cs="Times New Roman"/>
          <w:color w:val="44546A" w:themeColor="dark2"/>
          <w:sz w:val="24"/>
        </w:rPr>
        <w:t>ontra o Presidente e o Vice-Presidente da República e os Ministros de Estado;</w:t>
      </w:r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color w:val="44546A" w:themeColor="dark2"/>
          <w:sz w:val="24"/>
        </w:rPr>
        <w:t>II – proceder à tomada de contas do Presidente da República, quando não apresentadas ao Congresso Nacional dentro de sessenta dias após a abertura da sessão legislativa;</w:t>
      </w:r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color w:val="44546A" w:themeColor="dark2"/>
          <w:sz w:val="24"/>
        </w:rPr>
        <w:t>III – elaborar seu regimento interno;</w:t>
      </w:r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color w:val="44546A" w:themeColor="dark2"/>
          <w:sz w:val="24"/>
        </w:rPr>
        <w:t xml:space="preserve">IV – dispor sobre sua organização, funcionamento, polícia, criação, transformação ou extinção dos cargos, empregos e funções de seus serviços, e a iniciativa de lei para fixação da respectiva remuneração, observados os parâmetros estabelecidos na lei de diretrizes orçamentárias; </w:t>
      </w:r>
      <w:hyperlink r:id="rId4" w:history="1">
        <w:r w:rsidRPr="00883B02">
          <w:rPr>
            <w:rStyle w:val="Hyperlink"/>
            <w:rFonts w:ascii="Times New Roman" w:hAnsi="Times New Roman" w:cs="Times New Roman"/>
            <w:i/>
          </w:rPr>
          <w:t>(Inciso com redação dada pela EC nº 19, de 1998)</w:t>
        </w:r>
      </w:hyperlink>
      <w:bookmarkStart w:id="0" w:name="_GoBack"/>
      <w:bookmarkEnd w:id="0"/>
    </w:p>
    <w:p w:rsidR="00AA72DC" w:rsidRPr="00AA72DC" w:rsidRDefault="00AA72DC" w:rsidP="00AA72DC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AA72DC">
        <w:rPr>
          <w:rFonts w:ascii="Times New Roman" w:hAnsi="Times New Roman" w:cs="Times New Roman"/>
          <w:color w:val="44546A" w:themeColor="dark2"/>
          <w:sz w:val="24"/>
        </w:rPr>
        <w:t>V – eleger membros do Conselho da República, nos termos do art. 89, VII.</w:t>
      </w:r>
    </w:p>
    <w:p w:rsidR="00AA72DC" w:rsidRDefault="00AA72DC" w:rsidP="00AA72DC">
      <w:pPr>
        <w:ind w:firstLine="1134"/>
        <w:jc w:val="both"/>
        <w:rPr>
          <w:rFonts w:ascii="Arial" w:hAnsi="Arial" w:cstheme="minorBidi"/>
          <w:color w:val="44546A" w:themeColor="dark2"/>
          <w:sz w:val="24"/>
        </w:rPr>
      </w:pPr>
    </w:p>
    <w:p w:rsidR="002E0B57" w:rsidRDefault="00883B02"/>
    <w:sectPr w:rsidR="002E0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C"/>
    <w:rsid w:val="00101EB1"/>
    <w:rsid w:val="00307F6A"/>
    <w:rsid w:val="0051407D"/>
    <w:rsid w:val="005978C6"/>
    <w:rsid w:val="00695006"/>
    <w:rsid w:val="006A10C7"/>
    <w:rsid w:val="00883B02"/>
    <w:rsid w:val="00A43392"/>
    <w:rsid w:val="00A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230C-DE99-4923-B1AA-D69A315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DC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camara.leg.br/legin/fed/emecon/1998/emendaconstitucional-19-4-junho-1998-372816-norma-p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Sarkis Teixeira Bergo</dc:creator>
  <cp:keywords/>
  <dc:description/>
  <cp:lastModifiedBy>Simone Sarkis Teixeira Bergo</cp:lastModifiedBy>
  <cp:revision>2</cp:revision>
  <dcterms:created xsi:type="dcterms:W3CDTF">2022-09-21T21:20:00Z</dcterms:created>
  <dcterms:modified xsi:type="dcterms:W3CDTF">2022-09-21T21:23:00Z</dcterms:modified>
</cp:coreProperties>
</file>